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983"/>
      </w:tblGrid>
      <w:tr w:rsidR="002C667F" w:rsidRPr="004140ED" w14:paraId="5A4C3AE1" w14:textId="77777777">
        <w:tc>
          <w:tcPr>
            <w:tcW w:w="4423" w:type="dxa"/>
          </w:tcPr>
          <w:p w14:paraId="413E2E9F" w14:textId="77777777" w:rsidR="002C667F" w:rsidRPr="004140ED" w:rsidRDefault="002C667F" w:rsidP="004140ED">
            <w:pPr>
              <w:spacing w:after="120" w:line="240" w:lineRule="auto"/>
              <w:rPr>
                <w:rFonts w:cstheme="minorHAnsi"/>
                <w:sz w:val="24"/>
                <w:szCs w:val="24"/>
              </w:rPr>
            </w:pPr>
            <w:bookmarkStart w:id="0" w:name="bAvs_institution"/>
            <w:bookmarkStart w:id="1" w:name="bAvs_avd"/>
            <w:bookmarkStart w:id="2" w:name="bmBort"/>
            <w:bookmarkStart w:id="3" w:name="_GoBack"/>
            <w:bookmarkEnd w:id="0"/>
            <w:bookmarkEnd w:id="1"/>
            <w:bookmarkEnd w:id="3"/>
          </w:p>
        </w:tc>
        <w:tc>
          <w:tcPr>
            <w:tcW w:w="4050" w:type="dxa"/>
          </w:tcPr>
          <w:p w14:paraId="098F5212" w14:textId="77777777" w:rsidR="002C667F" w:rsidRPr="004140ED" w:rsidRDefault="002C667F" w:rsidP="004140ED">
            <w:pPr>
              <w:spacing w:after="120" w:line="240" w:lineRule="auto"/>
              <w:rPr>
                <w:rFonts w:cstheme="minorHAnsi"/>
                <w:sz w:val="24"/>
                <w:szCs w:val="24"/>
              </w:rPr>
            </w:pPr>
            <w:bookmarkStart w:id="4" w:name="bNamn2"/>
            <w:bookmarkEnd w:id="4"/>
          </w:p>
        </w:tc>
      </w:tr>
      <w:bookmarkEnd w:id="2"/>
    </w:tbl>
    <w:p w14:paraId="397BA860" w14:textId="77777777" w:rsidR="00EB6E96" w:rsidRPr="004140ED" w:rsidRDefault="00EB6E96" w:rsidP="00025ABB">
      <w:pPr>
        <w:spacing w:after="0" w:line="240" w:lineRule="auto"/>
        <w:rPr>
          <w:rFonts w:cstheme="minorHAnsi"/>
          <w:sz w:val="24"/>
          <w:szCs w:val="24"/>
        </w:rPr>
      </w:pPr>
    </w:p>
    <w:p w14:paraId="40B2B914" w14:textId="1BB9CF22" w:rsidR="003C731B" w:rsidRDefault="00025ABB" w:rsidP="00025ABB">
      <w:pPr>
        <w:pStyle w:val="Heading1"/>
        <w:spacing w:before="0"/>
        <w:rPr>
          <w:sz w:val="32"/>
        </w:rPr>
      </w:pPr>
      <w:bookmarkStart w:id="5" w:name="_Hlk482952447"/>
      <w:r>
        <w:rPr>
          <w:sz w:val="32"/>
        </w:rPr>
        <w:t>A</w:t>
      </w:r>
      <w:r w:rsidR="003C731B" w:rsidRPr="00025ABB">
        <w:rPr>
          <w:sz w:val="32"/>
        </w:rPr>
        <w:t xml:space="preserve">llmän studieplan för </w:t>
      </w:r>
      <w:r w:rsidR="00A571FB" w:rsidRPr="00025ABB">
        <w:rPr>
          <w:sz w:val="32"/>
        </w:rPr>
        <w:t>utbildning på</w:t>
      </w:r>
      <w:r w:rsidR="0082595C" w:rsidRPr="00025ABB">
        <w:rPr>
          <w:sz w:val="32"/>
        </w:rPr>
        <w:t xml:space="preserve"> forskarnivå i </w:t>
      </w:r>
      <w:bookmarkStart w:id="6" w:name="_Hlk482952411"/>
      <w:r w:rsidR="007F315E" w:rsidRPr="00025ABB">
        <w:rPr>
          <w:sz w:val="32"/>
        </w:rPr>
        <w:t xml:space="preserve">Internationella </w:t>
      </w:r>
      <w:bookmarkEnd w:id="6"/>
      <w:r w:rsidR="007F315E" w:rsidRPr="00025ABB">
        <w:rPr>
          <w:sz w:val="32"/>
        </w:rPr>
        <w:t>Relationer</w:t>
      </w:r>
    </w:p>
    <w:p w14:paraId="529C2339" w14:textId="56759375" w:rsidR="00850606" w:rsidRDefault="00850606" w:rsidP="00850606">
      <w:pPr>
        <w:rPr>
          <w:lang w:val="en-US"/>
        </w:rPr>
      </w:pPr>
      <w:r w:rsidRPr="0024563B">
        <w:rPr>
          <w:lang w:val="en-US"/>
        </w:rPr>
        <w:t xml:space="preserve">General Syllabus for Doctoral Studies in </w:t>
      </w:r>
      <w:r>
        <w:rPr>
          <w:lang w:val="en-US"/>
        </w:rPr>
        <w:t>International Relations</w:t>
      </w:r>
    </w:p>
    <w:p w14:paraId="2BC450DE" w14:textId="77777777" w:rsidR="00025ABB" w:rsidRPr="00025ABB" w:rsidRDefault="00025ABB" w:rsidP="00025ABB"/>
    <w:p w14:paraId="11CB3E25" w14:textId="77777777" w:rsidR="008470AD" w:rsidRPr="001B0F0B" w:rsidRDefault="004140ED" w:rsidP="004F1EA0">
      <w:pPr>
        <w:pStyle w:val="Heading2"/>
      </w:pPr>
      <w:bookmarkStart w:id="7" w:name="_Toc441140833"/>
      <w:bookmarkStart w:id="8" w:name="_Toc441142495"/>
      <w:bookmarkStart w:id="9" w:name="_Hlk482952486"/>
      <w:bookmarkEnd w:id="5"/>
      <w:r w:rsidRPr="001B0F0B">
        <w:t>1. B</w:t>
      </w:r>
      <w:r w:rsidR="00431661" w:rsidRPr="001B0F0B">
        <w:t>eslut</w:t>
      </w:r>
      <w:bookmarkEnd w:id="7"/>
      <w:bookmarkEnd w:id="8"/>
    </w:p>
    <w:bookmarkEnd w:id="9"/>
    <w:p w14:paraId="3D1BCF08" w14:textId="72C421DB" w:rsidR="007F315E" w:rsidRPr="001B0F0B" w:rsidRDefault="003C46D4" w:rsidP="003A3BCA">
      <w:pPr>
        <w:spacing w:line="240" w:lineRule="auto"/>
        <w:rPr>
          <w:sz w:val="24"/>
          <w:szCs w:val="24"/>
        </w:rPr>
      </w:pPr>
      <w:r w:rsidRPr="003C46D4">
        <w:rPr>
          <w:sz w:val="24"/>
          <w:szCs w:val="24"/>
        </w:rPr>
        <w:t>Den allmänna studieplane</w:t>
      </w:r>
      <w:r>
        <w:rPr>
          <w:sz w:val="24"/>
          <w:szCs w:val="24"/>
        </w:rPr>
        <w:t xml:space="preserve">n </w:t>
      </w:r>
      <w:r w:rsidR="007F315E" w:rsidRPr="001B0F0B">
        <w:rPr>
          <w:sz w:val="24"/>
          <w:szCs w:val="24"/>
        </w:rPr>
        <w:t xml:space="preserve">för utbildning på forskarnivå i internationella relationer är fastställd av </w:t>
      </w:r>
      <w:r w:rsidR="00760712" w:rsidRPr="001B0F0B">
        <w:rPr>
          <w:sz w:val="24"/>
          <w:szCs w:val="24"/>
        </w:rPr>
        <w:t>Områdesnämnden för samhällsvetenskap och humaniora</w:t>
      </w:r>
      <w:r w:rsidR="007F315E" w:rsidRPr="001B0F0B">
        <w:rPr>
          <w:sz w:val="24"/>
          <w:szCs w:val="24"/>
        </w:rPr>
        <w:t xml:space="preserve"> vid Stockholms universitet </w:t>
      </w:r>
      <w:r w:rsidR="00760712" w:rsidRPr="001B0F0B">
        <w:rPr>
          <w:sz w:val="24"/>
          <w:szCs w:val="24"/>
        </w:rPr>
        <w:t>2015-05-12 och r</w:t>
      </w:r>
      <w:r w:rsidR="007F315E" w:rsidRPr="001B0F0B">
        <w:rPr>
          <w:sz w:val="24"/>
          <w:szCs w:val="24"/>
        </w:rPr>
        <w:t xml:space="preserve">eviderad </w:t>
      </w:r>
      <w:r w:rsidR="00760712" w:rsidRPr="001B0F0B">
        <w:rPr>
          <w:sz w:val="24"/>
          <w:szCs w:val="24"/>
        </w:rPr>
        <w:t xml:space="preserve">av samhällsvetenskapliga fakultetsnämnden </w:t>
      </w:r>
      <w:r w:rsidR="007F315E" w:rsidRPr="001B0F0B">
        <w:rPr>
          <w:sz w:val="24"/>
          <w:szCs w:val="24"/>
        </w:rPr>
        <w:t xml:space="preserve">senast </w:t>
      </w:r>
      <w:r w:rsidR="00850606">
        <w:rPr>
          <w:sz w:val="24"/>
          <w:szCs w:val="24"/>
        </w:rPr>
        <w:t>2019-06-20</w:t>
      </w:r>
      <w:r w:rsidR="007F315E" w:rsidRPr="001B0F0B">
        <w:rPr>
          <w:sz w:val="24"/>
          <w:szCs w:val="24"/>
        </w:rPr>
        <w:t xml:space="preserve">. Allmänna bestämmelser rörande utbildningen återfinns i högskoleförordningen (HF), kapitlen 6 och 7. </w:t>
      </w:r>
    </w:p>
    <w:p w14:paraId="6EE24B95" w14:textId="77777777" w:rsidR="003C731B" w:rsidRPr="001B0F0B" w:rsidRDefault="004140ED" w:rsidP="004140ED">
      <w:pPr>
        <w:pStyle w:val="Heading2"/>
      </w:pPr>
      <w:r w:rsidRPr="001B0F0B">
        <w:rPr>
          <w:bCs w:val="0"/>
          <w:sz w:val="26"/>
        </w:rPr>
        <w:t>2.</w:t>
      </w:r>
      <w:r w:rsidRPr="001B0F0B">
        <w:t xml:space="preserve"> </w:t>
      </w:r>
      <w:r w:rsidR="003C731B" w:rsidRPr="001B0F0B">
        <w:t>Ämnesbeskrivning</w:t>
      </w:r>
    </w:p>
    <w:p w14:paraId="2CCCA2E8" w14:textId="36B85C59" w:rsidR="00EE412E" w:rsidRPr="001B0F0B" w:rsidRDefault="00EE412E" w:rsidP="00EE412E">
      <w:pPr>
        <w:pStyle w:val="CommentText"/>
      </w:pPr>
      <w:r w:rsidRPr="00DF7E4A">
        <w:t xml:space="preserve">I ämnet internationella relationer studeras hur det internationella systemet fungerar politiskt, ekonomiskt och </w:t>
      </w:r>
      <w:r w:rsidR="00A43018" w:rsidRPr="00DF7E4A">
        <w:t>socialt</w:t>
      </w:r>
      <w:r w:rsidRPr="00DF7E4A">
        <w:t>, dess historiska framväxt och förändrade maktförhållanden. Vidare undersöks de faktorer som påverkar relationer mellan stater, mellan- och överstatliga organisationer, multinationella företag, icke-statliga aktörer (NGO:s) och sociala rörelser såväl som konsekvenserna av dessa relationer. Utrymme ägnas åt konflikter i det globala systemet, vad dessa beror på och vilka aktörer och strukturella förhållanden som påverkar dem.</w:t>
      </w:r>
    </w:p>
    <w:p w14:paraId="487EF790" w14:textId="77777777" w:rsidR="003C731B" w:rsidRPr="001B0F0B" w:rsidRDefault="004140ED" w:rsidP="004140ED">
      <w:pPr>
        <w:pStyle w:val="Heading2"/>
      </w:pPr>
      <w:r w:rsidRPr="001B0F0B">
        <w:t xml:space="preserve">3. </w:t>
      </w:r>
      <w:r w:rsidR="003C731B" w:rsidRPr="001B0F0B">
        <w:t>Utbildningens mål</w:t>
      </w:r>
    </w:p>
    <w:p w14:paraId="49EC3271" w14:textId="77777777" w:rsidR="00004E9A" w:rsidRPr="001B0F0B" w:rsidRDefault="00004E9A" w:rsidP="00D63966">
      <w:pPr>
        <w:spacing w:after="120" w:line="240" w:lineRule="auto"/>
        <w:rPr>
          <w:rFonts w:cstheme="minorHAnsi"/>
          <w:sz w:val="24"/>
          <w:szCs w:val="24"/>
        </w:rPr>
      </w:pPr>
      <w:bookmarkStart w:id="10" w:name="_Toc441140836"/>
      <w:bookmarkStart w:id="11" w:name="_Toc441142498"/>
      <w:r w:rsidRPr="001B0F0B">
        <w:rPr>
          <w:rFonts w:cstheme="minorHAnsi"/>
          <w:sz w:val="24"/>
          <w:szCs w:val="24"/>
        </w:rPr>
        <w:t>Utbildningen kan leda fram till doktorsexamen eller licentiatexamen.</w:t>
      </w:r>
    </w:p>
    <w:p w14:paraId="0557FECF" w14:textId="77777777" w:rsidR="00431661" w:rsidRPr="001B0F0B" w:rsidRDefault="00431661" w:rsidP="004140ED">
      <w:pPr>
        <w:pStyle w:val="Heading3"/>
        <w:spacing w:before="0" w:after="120" w:line="240" w:lineRule="auto"/>
        <w:rPr>
          <w:rFonts w:asciiTheme="minorHAnsi" w:hAnsiTheme="minorHAnsi" w:cstheme="minorHAnsi"/>
          <w:szCs w:val="24"/>
        </w:rPr>
      </w:pPr>
      <w:bookmarkStart w:id="12" w:name="_Hlk482953200"/>
      <w:r w:rsidRPr="001B0F0B">
        <w:rPr>
          <w:rFonts w:asciiTheme="minorHAnsi" w:hAnsiTheme="minorHAnsi" w:cstheme="minorHAnsi"/>
          <w:szCs w:val="24"/>
        </w:rPr>
        <w:t>3.1 Doktorsexamen</w:t>
      </w:r>
      <w:bookmarkEnd w:id="10"/>
      <w:bookmarkEnd w:id="11"/>
    </w:p>
    <w:bookmarkEnd w:id="12"/>
    <w:p w14:paraId="1BD6F1F1" w14:textId="77777777" w:rsidR="003C731B" w:rsidRPr="001B0F0B" w:rsidRDefault="003C731B" w:rsidP="004140ED">
      <w:pPr>
        <w:spacing w:after="120" w:line="240" w:lineRule="auto"/>
        <w:rPr>
          <w:rFonts w:cstheme="minorHAnsi"/>
          <w:sz w:val="24"/>
          <w:szCs w:val="24"/>
        </w:rPr>
      </w:pPr>
      <w:r w:rsidRPr="001B0F0B">
        <w:rPr>
          <w:rFonts w:cstheme="minorHAnsi"/>
          <w:sz w:val="24"/>
          <w:szCs w:val="24"/>
        </w:rPr>
        <w:t xml:space="preserve">Doktorsexamen uppnås efter att doktoranden fullgjort en utbildning om 240 högskolepoäng inom </w:t>
      </w:r>
      <w:r w:rsidR="005B645B" w:rsidRPr="001B0F0B">
        <w:rPr>
          <w:rFonts w:cstheme="minorHAnsi"/>
          <w:sz w:val="24"/>
          <w:szCs w:val="24"/>
        </w:rPr>
        <w:t xml:space="preserve">utbildning på forskarnivå i </w:t>
      </w:r>
      <w:r w:rsidR="007F315E" w:rsidRPr="001B0F0B">
        <w:rPr>
          <w:rFonts w:cstheme="minorHAnsi"/>
          <w:sz w:val="24"/>
          <w:szCs w:val="24"/>
        </w:rPr>
        <w:t>internationella relationer</w:t>
      </w:r>
      <w:r w:rsidR="005B645B" w:rsidRPr="001B0F0B">
        <w:rPr>
          <w:rFonts w:cstheme="minorHAnsi"/>
          <w:sz w:val="24"/>
          <w:szCs w:val="24"/>
        </w:rPr>
        <w:t>.</w:t>
      </w:r>
    </w:p>
    <w:p w14:paraId="200C5A82" w14:textId="77777777" w:rsidR="003C731B" w:rsidRPr="001B0F0B" w:rsidRDefault="003C731B" w:rsidP="004140ED">
      <w:pPr>
        <w:spacing w:after="120" w:line="240" w:lineRule="auto"/>
        <w:rPr>
          <w:rFonts w:cstheme="minorHAnsi"/>
          <w:sz w:val="24"/>
          <w:szCs w:val="24"/>
          <w:u w:val="single"/>
        </w:rPr>
      </w:pPr>
      <w:bookmarkStart w:id="13" w:name="R590"/>
      <w:bookmarkEnd w:id="13"/>
      <w:r w:rsidRPr="001B0F0B">
        <w:rPr>
          <w:rFonts w:cstheme="minorHAnsi"/>
          <w:sz w:val="24"/>
          <w:szCs w:val="24"/>
          <w:u w:val="single"/>
        </w:rPr>
        <w:t>Kunskap och förståelse</w:t>
      </w:r>
    </w:p>
    <w:p w14:paraId="14F8EA4C" w14:textId="77777777" w:rsidR="00706093" w:rsidRPr="001B0F0B" w:rsidRDefault="003C731B" w:rsidP="004140ED">
      <w:pPr>
        <w:spacing w:after="120" w:line="240" w:lineRule="auto"/>
        <w:rPr>
          <w:rFonts w:cstheme="minorHAnsi"/>
          <w:sz w:val="24"/>
          <w:szCs w:val="24"/>
        </w:rPr>
      </w:pPr>
      <w:bookmarkStart w:id="14" w:name="S1090"/>
      <w:bookmarkEnd w:id="14"/>
      <w:r w:rsidRPr="001B0F0B">
        <w:rPr>
          <w:rFonts w:cstheme="minorHAnsi"/>
          <w:sz w:val="24"/>
          <w:szCs w:val="24"/>
        </w:rPr>
        <w:t>För doktorsexamen</w:t>
      </w:r>
      <w:r w:rsidR="005B645B" w:rsidRPr="001B0F0B">
        <w:rPr>
          <w:rFonts w:cstheme="minorHAnsi"/>
          <w:sz w:val="24"/>
          <w:szCs w:val="24"/>
        </w:rPr>
        <w:t xml:space="preserve"> i </w:t>
      </w:r>
      <w:r w:rsidR="007F315E" w:rsidRPr="001B0F0B">
        <w:rPr>
          <w:rFonts w:cstheme="minorHAnsi"/>
          <w:sz w:val="24"/>
          <w:szCs w:val="24"/>
        </w:rPr>
        <w:t>internationella relationer</w:t>
      </w:r>
      <w:r w:rsidRPr="001B0F0B">
        <w:rPr>
          <w:rFonts w:cstheme="minorHAnsi"/>
          <w:sz w:val="24"/>
          <w:szCs w:val="24"/>
        </w:rPr>
        <w:t xml:space="preserve"> ska doktoranden</w:t>
      </w:r>
    </w:p>
    <w:p w14:paraId="2C411A83" w14:textId="77777777" w:rsidR="00706093" w:rsidRPr="001B0F0B" w:rsidRDefault="003C731B" w:rsidP="004140ED">
      <w:pPr>
        <w:spacing w:after="120" w:line="240" w:lineRule="auto"/>
        <w:rPr>
          <w:rFonts w:cstheme="minorHAnsi"/>
          <w:sz w:val="24"/>
          <w:szCs w:val="24"/>
        </w:rPr>
      </w:pPr>
      <w:bookmarkStart w:id="15" w:name="S1091"/>
      <w:bookmarkEnd w:id="15"/>
      <w:r w:rsidRPr="001B0F0B">
        <w:rPr>
          <w:rFonts w:cstheme="minorHAnsi"/>
          <w:sz w:val="24"/>
          <w:szCs w:val="24"/>
        </w:rPr>
        <w:t xml:space="preserve">visa brett kunnande inom och en systematisk förståelse av forskningsområdet </w:t>
      </w:r>
      <w:r w:rsidR="007F315E" w:rsidRPr="001B0F0B">
        <w:rPr>
          <w:rFonts w:cstheme="minorHAnsi"/>
          <w:sz w:val="24"/>
          <w:szCs w:val="24"/>
        </w:rPr>
        <w:t>internationella relationer</w:t>
      </w:r>
      <w:r w:rsidR="005B645B" w:rsidRPr="001B0F0B">
        <w:rPr>
          <w:rFonts w:cstheme="minorHAnsi"/>
          <w:sz w:val="24"/>
          <w:szCs w:val="24"/>
        </w:rPr>
        <w:t xml:space="preserve"> </w:t>
      </w:r>
      <w:r w:rsidRPr="001B0F0B">
        <w:rPr>
          <w:rFonts w:cstheme="minorHAnsi"/>
          <w:sz w:val="24"/>
          <w:szCs w:val="24"/>
        </w:rPr>
        <w:t xml:space="preserve">samt djup och aktuell specialistkunskap inom en avgränsad del av forskningsområdet, och </w:t>
      </w:r>
    </w:p>
    <w:p w14:paraId="58A2D035" w14:textId="77777777" w:rsidR="003C731B" w:rsidRPr="001B0F0B" w:rsidRDefault="003C731B" w:rsidP="004140ED">
      <w:pPr>
        <w:spacing w:after="120" w:line="240" w:lineRule="auto"/>
        <w:rPr>
          <w:rFonts w:cstheme="minorHAnsi"/>
          <w:sz w:val="24"/>
          <w:szCs w:val="24"/>
        </w:rPr>
      </w:pPr>
      <w:r w:rsidRPr="001B0F0B">
        <w:rPr>
          <w:rFonts w:cstheme="minorHAnsi"/>
          <w:sz w:val="24"/>
          <w:szCs w:val="24"/>
        </w:rPr>
        <w:t>visa förtrogenhet med vetenskaplig metodik i allmänhet och med det specifika forskningsområdets metoder i synnerhet.</w:t>
      </w:r>
    </w:p>
    <w:p w14:paraId="791A5911" w14:textId="77777777" w:rsidR="008470AD" w:rsidRPr="001B0F0B" w:rsidRDefault="003C731B" w:rsidP="004140ED">
      <w:pPr>
        <w:spacing w:after="120" w:line="240" w:lineRule="auto"/>
        <w:rPr>
          <w:rFonts w:cstheme="minorHAnsi"/>
          <w:sz w:val="24"/>
          <w:szCs w:val="24"/>
          <w:u w:val="single"/>
        </w:rPr>
      </w:pPr>
      <w:bookmarkStart w:id="16" w:name="R592"/>
      <w:bookmarkEnd w:id="16"/>
      <w:r w:rsidRPr="001B0F0B">
        <w:rPr>
          <w:rFonts w:cstheme="minorHAnsi"/>
          <w:sz w:val="24"/>
          <w:szCs w:val="24"/>
          <w:u w:val="single"/>
        </w:rPr>
        <w:lastRenderedPageBreak/>
        <w:t>Färdighet och förmåga</w:t>
      </w:r>
    </w:p>
    <w:p w14:paraId="02D7DCE3" w14:textId="77777777" w:rsidR="00706093" w:rsidRPr="001B0F0B" w:rsidRDefault="003C731B" w:rsidP="00D7239A">
      <w:pPr>
        <w:rPr>
          <w:sz w:val="24"/>
          <w:szCs w:val="24"/>
        </w:rPr>
      </w:pPr>
      <w:bookmarkStart w:id="17" w:name="S1092"/>
      <w:bookmarkEnd w:id="17"/>
      <w:r w:rsidRPr="001B0F0B">
        <w:rPr>
          <w:sz w:val="24"/>
          <w:szCs w:val="24"/>
        </w:rPr>
        <w:t>För doktorsexamen ska doktoranden</w:t>
      </w:r>
    </w:p>
    <w:p w14:paraId="2E419FBF" w14:textId="77777777" w:rsidR="00706093" w:rsidRPr="001B0F0B" w:rsidRDefault="003C731B" w:rsidP="004140ED">
      <w:pPr>
        <w:spacing w:after="120" w:line="240" w:lineRule="auto"/>
        <w:rPr>
          <w:rFonts w:cstheme="minorHAnsi"/>
          <w:sz w:val="24"/>
          <w:szCs w:val="24"/>
        </w:rPr>
      </w:pPr>
      <w:bookmarkStart w:id="18" w:name="S1093"/>
      <w:bookmarkEnd w:id="18"/>
      <w:r w:rsidRPr="001B0F0B">
        <w:rPr>
          <w:rFonts w:cstheme="minorHAnsi"/>
          <w:sz w:val="24"/>
          <w:szCs w:val="24"/>
        </w:rPr>
        <w:t>visa förmåga till vetenskaplig analys och syntes samt till självständig kritisk granskning och bedömning av nya och komplexa företeelser, frågeställningar och situationer,</w:t>
      </w:r>
    </w:p>
    <w:p w14:paraId="269A2D78" w14:textId="77777777" w:rsidR="00706093" w:rsidRPr="001B0F0B" w:rsidRDefault="003C731B" w:rsidP="004140ED">
      <w:pPr>
        <w:spacing w:after="120" w:line="240" w:lineRule="auto"/>
        <w:rPr>
          <w:rFonts w:cstheme="minorHAnsi"/>
          <w:sz w:val="24"/>
          <w:szCs w:val="24"/>
        </w:rPr>
      </w:pPr>
      <w:bookmarkStart w:id="19" w:name="S1094"/>
      <w:bookmarkEnd w:id="19"/>
      <w:r w:rsidRPr="001B0F0B">
        <w:rPr>
          <w:rFonts w:cstheme="minorHAnsi"/>
          <w:sz w:val="24"/>
          <w:szCs w:val="24"/>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03CF1F3A" w14:textId="77777777" w:rsidR="00706093" w:rsidRPr="001B0F0B" w:rsidRDefault="003C731B" w:rsidP="004140ED">
      <w:pPr>
        <w:spacing w:after="120" w:line="240" w:lineRule="auto"/>
        <w:rPr>
          <w:rFonts w:cstheme="minorHAnsi"/>
          <w:sz w:val="24"/>
          <w:szCs w:val="24"/>
        </w:rPr>
      </w:pPr>
      <w:bookmarkStart w:id="20" w:name="S1095"/>
      <w:bookmarkEnd w:id="20"/>
      <w:r w:rsidRPr="001B0F0B">
        <w:rPr>
          <w:rFonts w:cstheme="minorHAnsi"/>
          <w:sz w:val="24"/>
          <w:szCs w:val="24"/>
        </w:rPr>
        <w:t>med en avhandling visa sin förmåga att genom egen forskning väsentligt bidra till kunskapsutvecklingen,</w:t>
      </w:r>
    </w:p>
    <w:p w14:paraId="3BEDA440" w14:textId="77777777" w:rsidR="00706093" w:rsidRPr="001B0F0B" w:rsidRDefault="003C731B" w:rsidP="004140ED">
      <w:pPr>
        <w:spacing w:after="120" w:line="240" w:lineRule="auto"/>
        <w:rPr>
          <w:rFonts w:cstheme="minorHAnsi"/>
          <w:sz w:val="24"/>
          <w:szCs w:val="24"/>
        </w:rPr>
      </w:pPr>
      <w:bookmarkStart w:id="21" w:name="S1096"/>
      <w:bookmarkEnd w:id="21"/>
      <w:r w:rsidRPr="001B0F0B">
        <w:rPr>
          <w:rFonts w:cstheme="minorHAnsi"/>
          <w:sz w:val="24"/>
          <w:szCs w:val="24"/>
        </w:rPr>
        <w:t>visa förmåga att i såväl nationella som internationella sammanhang muntligt och skriftligt med auktoritet presentera och diskutera forskning och forskningsresultat i dialog med vetenskapssamhället och samhället i övrigt,</w:t>
      </w:r>
    </w:p>
    <w:p w14:paraId="26C2FD39" w14:textId="77777777" w:rsidR="00706093" w:rsidRPr="001B0F0B" w:rsidRDefault="003C731B" w:rsidP="004140ED">
      <w:pPr>
        <w:spacing w:after="120" w:line="240" w:lineRule="auto"/>
        <w:rPr>
          <w:rFonts w:cstheme="minorHAnsi"/>
          <w:sz w:val="24"/>
          <w:szCs w:val="24"/>
        </w:rPr>
      </w:pPr>
      <w:bookmarkStart w:id="22" w:name="S1097"/>
      <w:bookmarkEnd w:id="22"/>
      <w:r w:rsidRPr="001B0F0B">
        <w:rPr>
          <w:rFonts w:cstheme="minorHAnsi"/>
          <w:sz w:val="24"/>
          <w:szCs w:val="24"/>
        </w:rPr>
        <w:t>visa förmåga att identifiera behov av ytterligare kunskap, och</w:t>
      </w:r>
    </w:p>
    <w:p w14:paraId="2179429C" w14:textId="77777777" w:rsidR="008470AD" w:rsidRPr="001B0F0B" w:rsidRDefault="003C731B" w:rsidP="004140ED">
      <w:pPr>
        <w:spacing w:after="120" w:line="240" w:lineRule="auto"/>
        <w:rPr>
          <w:rFonts w:cstheme="minorHAnsi"/>
          <w:sz w:val="24"/>
          <w:szCs w:val="24"/>
        </w:rPr>
      </w:pPr>
      <w:bookmarkStart w:id="23" w:name="S1098"/>
      <w:bookmarkEnd w:id="23"/>
      <w:r w:rsidRPr="001B0F0B">
        <w:rPr>
          <w:rFonts w:cstheme="minorHAnsi"/>
          <w:sz w:val="24"/>
          <w:szCs w:val="24"/>
        </w:rPr>
        <w:t xml:space="preserve">visa förutsättningar för att såväl inom forskning och utbildning som i andra kvalificerade professionella sammanhang bidra till samhällets utveckling och stödja andras lärande. </w:t>
      </w:r>
    </w:p>
    <w:p w14:paraId="43FD186A" w14:textId="77777777" w:rsidR="00706093" w:rsidRPr="001B0F0B" w:rsidRDefault="003C731B" w:rsidP="004140ED">
      <w:pPr>
        <w:spacing w:after="120" w:line="240" w:lineRule="auto"/>
        <w:rPr>
          <w:rFonts w:cstheme="minorHAnsi"/>
          <w:sz w:val="24"/>
          <w:szCs w:val="24"/>
        </w:rPr>
      </w:pPr>
      <w:r w:rsidRPr="001B0F0B">
        <w:rPr>
          <w:rFonts w:cstheme="minorHAnsi"/>
          <w:sz w:val="24"/>
          <w:szCs w:val="24"/>
          <w:u w:val="single"/>
        </w:rPr>
        <w:t>Värderingsförmåga och förhållningssätt</w:t>
      </w:r>
      <w:r w:rsidRPr="001B0F0B">
        <w:rPr>
          <w:rFonts w:cstheme="minorHAnsi"/>
          <w:sz w:val="24"/>
          <w:szCs w:val="24"/>
        </w:rPr>
        <w:br/>
      </w:r>
      <w:bookmarkStart w:id="24" w:name="S1099"/>
      <w:bookmarkEnd w:id="24"/>
      <w:r w:rsidRPr="001B0F0B">
        <w:rPr>
          <w:rFonts w:cstheme="minorHAnsi"/>
          <w:sz w:val="24"/>
          <w:szCs w:val="24"/>
        </w:rPr>
        <w:t>För doktorsexamen ska doktoranden</w:t>
      </w:r>
    </w:p>
    <w:p w14:paraId="5F9E67C2" w14:textId="77777777" w:rsidR="00706093" w:rsidRPr="001B0F0B" w:rsidRDefault="003C731B" w:rsidP="004140ED">
      <w:pPr>
        <w:spacing w:after="120" w:line="240" w:lineRule="auto"/>
        <w:rPr>
          <w:rFonts w:cstheme="minorHAnsi"/>
          <w:sz w:val="24"/>
          <w:szCs w:val="24"/>
        </w:rPr>
      </w:pPr>
      <w:bookmarkStart w:id="25" w:name="S1100"/>
      <w:bookmarkEnd w:id="25"/>
      <w:r w:rsidRPr="001B0F0B">
        <w:rPr>
          <w:rFonts w:cstheme="minorHAnsi"/>
          <w:sz w:val="24"/>
          <w:szCs w:val="24"/>
        </w:rPr>
        <w:t>visa intellektuell självständighet och vetenskaplig redlighet samt förmåga att göra forskningsetiska bedömningar, och</w:t>
      </w:r>
    </w:p>
    <w:p w14:paraId="5AFF61BB" w14:textId="77777777" w:rsidR="003C731B" w:rsidRPr="001B0F0B" w:rsidRDefault="003C731B" w:rsidP="004140ED">
      <w:pPr>
        <w:spacing w:after="120" w:line="240" w:lineRule="auto"/>
        <w:rPr>
          <w:rFonts w:cstheme="minorHAnsi"/>
          <w:sz w:val="24"/>
          <w:szCs w:val="24"/>
        </w:rPr>
      </w:pPr>
      <w:bookmarkStart w:id="26" w:name="S1101"/>
      <w:bookmarkEnd w:id="26"/>
      <w:r w:rsidRPr="001B0F0B">
        <w:rPr>
          <w:rFonts w:cstheme="minorHAnsi"/>
          <w:sz w:val="24"/>
          <w:szCs w:val="24"/>
        </w:rPr>
        <w:t>visa fördjupad insikt om vetenskapens möjligheter och begränsningar, dess roll i samhället och människors ansvar för hur den används.</w:t>
      </w:r>
    </w:p>
    <w:p w14:paraId="12551E20" w14:textId="77777777" w:rsidR="00D66562" w:rsidRPr="001B0F0B" w:rsidRDefault="00D66562" w:rsidP="00D66562">
      <w:pPr>
        <w:rPr>
          <w:sz w:val="24"/>
          <w:szCs w:val="24"/>
          <w:u w:val="single"/>
        </w:rPr>
      </w:pPr>
      <w:r w:rsidRPr="001B0F0B">
        <w:rPr>
          <w:sz w:val="24"/>
          <w:szCs w:val="24"/>
          <w:u w:val="single"/>
        </w:rPr>
        <w:t>Vetenskaplig avhandling (doktorsavhandling)</w:t>
      </w:r>
    </w:p>
    <w:p w14:paraId="2793C45E" w14:textId="742A3C86" w:rsidR="00D66562" w:rsidRPr="00D84F5F" w:rsidRDefault="00D66562" w:rsidP="00D84F5F">
      <w:pPr>
        <w:rPr>
          <w:sz w:val="24"/>
          <w:szCs w:val="24"/>
        </w:rPr>
      </w:pPr>
      <w:bookmarkStart w:id="27" w:name="S1102"/>
      <w:bookmarkEnd w:id="27"/>
      <w:r w:rsidRPr="001B0F0B">
        <w:rPr>
          <w:sz w:val="24"/>
          <w:szCs w:val="24"/>
        </w:rPr>
        <w:t>För doktorsexamen i internationella relationer ska doktoranden ha fått en vetenskaplig avhandling (doktorsavhandling) om 165 högskolepoäng godkänd.</w:t>
      </w:r>
    </w:p>
    <w:p w14:paraId="6AE11F1D" w14:textId="77777777" w:rsidR="00DD36BA" w:rsidRPr="001B0F0B" w:rsidRDefault="005E0B8D" w:rsidP="00D7239A">
      <w:pPr>
        <w:pStyle w:val="Heading3"/>
      </w:pPr>
      <w:bookmarkStart w:id="28" w:name="R593"/>
      <w:bookmarkStart w:id="29" w:name="S1103"/>
      <w:bookmarkEnd w:id="28"/>
      <w:bookmarkEnd w:id="29"/>
      <w:r w:rsidRPr="001B0F0B">
        <w:t xml:space="preserve">3.2 </w:t>
      </w:r>
      <w:r w:rsidR="00DD36BA" w:rsidRPr="001B0F0B">
        <w:t>Licentiatexamen</w:t>
      </w:r>
    </w:p>
    <w:p w14:paraId="59739AFD" w14:textId="77777777" w:rsidR="00B66035" w:rsidRPr="001B0F0B" w:rsidRDefault="00B66035" w:rsidP="004140ED">
      <w:pPr>
        <w:spacing w:after="120" w:line="240" w:lineRule="auto"/>
        <w:rPr>
          <w:rFonts w:cstheme="minorHAnsi"/>
          <w:sz w:val="24"/>
          <w:szCs w:val="24"/>
        </w:rPr>
      </w:pPr>
      <w:r w:rsidRPr="001B0F0B">
        <w:rPr>
          <w:rFonts w:cstheme="minorHAnsi"/>
          <w:sz w:val="24"/>
          <w:szCs w:val="24"/>
        </w:rPr>
        <w:t xml:space="preserve">Licentiatexamen </w:t>
      </w:r>
      <w:r w:rsidR="00945AF0" w:rsidRPr="001B0F0B">
        <w:rPr>
          <w:rFonts w:cstheme="minorHAnsi"/>
          <w:sz w:val="24"/>
          <w:szCs w:val="24"/>
        </w:rPr>
        <w:t xml:space="preserve">i </w:t>
      </w:r>
      <w:r w:rsidR="007F315E" w:rsidRPr="001B0F0B">
        <w:rPr>
          <w:rFonts w:cstheme="minorHAnsi"/>
          <w:sz w:val="24"/>
          <w:szCs w:val="24"/>
        </w:rPr>
        <w:t>internationella relationer</w:t>
      </w:r>
      <w:r w:rsidR="00945AF0" w:rsidRPr="001B0F0B">
        <w:rPr>
          <w:rFonts w:cstheme="minorHAnsi"/>
          <w:sz w:val="24"/>
          <w:szCs w:val="24"/>
        </w:rPr>
        <w:t xml:space="preserve"> </w:t>
      </w:r>
      <w:r w:rsidRPr="001B0F0B">
        <w:rPr>
          <w:rFonts w:cstheme="minorHAnsi"/>
          <w:sz w:val="24"/>
          <w:szCs w:val="24"/>
        </w:rPr>
        <w:t>uppnås</w:t>
      </w:r>
      <w:bookmarkStart w:id="30" w:name="S1075"/>
      <w:bookmarkEnd w:id="30"/>
      <w:r w:rsidRPr="001B0F0B">
        <w:rPr>
          <w:rFonts w:cstheme="minorHAnsi"/>
          <w:sz w:val="24"/>
          <w:szCs w:val="24"/>
        </w:rPr>
        <w:t xml:space="preserve"> antingen efter att doktoranden fullgjort en utbildning om minst 120 högskolepoäng i</w:t>
      </w:r>
      <w:r w:rsidR="00945AF0" w:rsidRPr="001B0F0B">
        <w:rPr>
          <w:rFonts w:cstheme="minorHAnsi"/>
          <w:sz w:val="24"/>
          <w:szCs w:val="24"/>
        </w:rPr>
        <w:t xml:space="preserve"> </w:t>
      </w:r>
      <w:r w:rsidR="007F315E" w:rsidRPr="001B0F0B">
        <w:rPr>
          <w:rFonts w:cstheme="minorHAnsi"/>
          <w:sz w:val="24"/>
          <w:szCs w:val="24"/>
        </w:rPr>
        <w:t>internationella relationer</w:t>
      </w:r>
      <w:r w:rsidRPr="001B0F0B">
        <w:rPr>
          <w:rFonts w:cstheme="minorHAnsi"/>
          <w:sz w:val="24"/>
          <w:szCs w:val="24"/>
        </w:rPr>
        <w:t>,</w:t>
      </w:r>
      <w:bookmarkStart w:id="31" w:name="S1076"/>
      <w:bookmarkEnd w:id="31"/>
      <w:r w:rsidRPr="001B0F0B">
        <w:rPr>
          <w:rFonts w:cstheme="minorHAnsi"/>
          <w:sz w:val="24"/>
          <w:szCs w:val="24"/>
        </w:rPr>
        <w:t xml:space="preserve"> eller efter att doktoranden fullgjort en del om minst 120 högskolepoäng av utbildning </w:t>
      </w:r>
      <w:r w:rsidR="00945AF0" w:rsidRPr="001B0F0B">
        <w:rPr>
          <w:rFonts w:cstheme="minorHAnsi"/>
          <w:sz w:val="24"/>
          <w:szCs w:val="24"/>
        </w:rPr>
        <w:t xml:space="preserve">i </w:t>
      </w:r>
      <w:r w:rsidR="007F315E" w:rsidRPr="001B0F0B">
        <w:rPr>
          <w:rFonts w:cstheme="minorHAnsi"/>
          <w:sz w:val="24"/>
          <w:szCs w:val="24"/>
        </w:rPr>
        <w:t>internationella relationer</w:t>
      </w:r>
      <w:r w:rsidR="00945AF0" w:rsidRPr="001B0F0B">
        <w:rPr>
          <w:rFonts w:cstheme="minorHAnsi"/>
          <w:sz w:val="24"/>
          <w:szCs w:val="24"/>
        </w:rPr>
        <w:t xml:space="preserve"> </w:t>
      </w:r>
      <w:r w:rsidRPr="001B0F0B">
        <w:rPr>
          <w:rFonts w:cstheme="minorHAnsi"/>
          <w:sz w:val="24"/>
          <w:szCs w:val="24"/>
        </w:rPr>
        <w:t>som skall avslutas med doktorsexamen.</w:t>
      </w:r>
      <w:bookmarkStart w:id="32" w:name="R582"/>
      <w:bookmarkEnd w:id="32"/>
    </w:p>
    <w:p w14:paraId="430DB4B3" w14:textId="77777777" w:rsidR="00B66035" w:rsidRPr="001B0F0B" w:rsidRDefault="00B66035" w:rsidP="004140ED">
      <w:pPr>
        <w:spacing w:after="120" w:line="240" w:lineRule="auto"/>
        <w:rPr>
          <w:rFonts w:cstheme="minorHAnsi"/>
          <w:sz w:val="24"/>
          <w:szCs w:val="24"/>
          <w:u w:val="single"/>
        </w:rPr>
      </w:pPr>
      <w:r w:rsidRPr="001B0F0B">
        <w:rPr>
          <w:rFonts w:cstheme="minorHAnsi"/>
          <w:sz w:val="24"/>
          <w:szCs w:val="24"/>
          <w:u w:val="single"/>
        </w:rPr>
        <w:lastRenderedPageBreak/>
        <w:t>Kunskap och förståelse</w:t>
      </w:r>
      <w:bookmarkStart w:id="33" w:name="S1077"/>
      <w:bookmarkEnd w:id="33"/>
    </w:p>
    <w:p w14:paraId="7FDA1A3B" w14:textId="77777777" w:rsidR="00B66035" w:rsidRPr="001B0F0B" w:rsidRDefault="00B66035" w:rsidP="004140ED">
      <w:pPr>
        <w:spacing w:after="120" w:line="240" w:lineRule="auto"/>
        <w:rPr>
          <w:rFonts w:cstheme="minorHAnsi"/>
          <w:sz w:val="24"/>
          <w:szCs w:val="24"/>
        </w:rPr>
      </w:pPr>
      <w:r w:rsidRPr="001B0F0B">
        <w:rPr>
          <w:rFonts w:cstheme="minorHAnsi"/>
          <w:sz w:val="24"/>
          <w:szCs w:val="24"/>
        </w:rPr>
        <w:t xml:space="preserve">För licentiatexamen </w:t>
      </w:r>
      <w:r w:rsidR="001E4FB2" w:rsidRPr="001B0F0B">
        <w:rPr>
          <w:rFonts w:cstheme="minorHAnsi"/>
          <w:sz w:val="24"/>
          <w:szCs w:val="24"/>
        </w:rPr>
        <w:t xml:space="preserve">i </w:t>
      </w:r>
      <w:r w:rsidR="007F315E" w:rsidRPr="001B0F0B">
        <w:rPr>
          <w:rFonts w:cstheme="minorHAnsi"/>
          <w:sz w:val="24"/>
          <w:szCs w:val="24"/>
        </w:rPr>
        <w:t>internationella relationer</w:t>
      </w:r>
      <w:r w:rsidR="001E4FB2" w:rsidRPr="001B0F0B">
        <w:rPr>
          <w:rFonts w:cstheme="minorHAnsi"/>
          <w:sz w:val="24"/>
          <w:szCs w:val="24"/>
        </w:rPr>
        <w:t xml:space="preserve"> </w:t>
      </w:r>
      <w:r w:rsidRPr="001B0F0B">
        <w:rPr>
          <w:rFonts w:cstheme="minorHAnsi"/>
          <w:sz w:val="24"/>
          <w:szCs w:val="24"/>
        </w:rPr>
        <w:t>skall doktoranden</w:t>
      </w:r>
    </w:p>
    <w:p w14:paraId="6D2D3627" w14:textId="77777777" w:rsidR="00B66035" w:rsidRPr="001B0F0B" w:rsidRDefault="00B66035" w:rsidP="004140ED">
      <w:pPr>
        <w:spacing w:after="120" w:line="240" w:lineRule="auto"/>
        <w:rPr>
          <w:rFonts w:cstheme="minorHAnsi"/>
          <w:sz w:val="24"/>
          <w:szCs w:val="24"/>
        </w:rPr>
      </w:pPr>
      <w:bookmarkStart w:id="34" w:name="S1078"/>
      <w:bookmarkEnd w:id="34"/>
      <w:r w:rsidRPr="001B0F0B">
        <w:rPr>
          <w:rFonts w:cstheme="minorHAnsi"/>
          <w:sz w:val="24"/>
          <w:szCs w:val="24"/>
        </w:rPr>
        <w:t>visa kunskap och förståelse inom forskningsområdet</w:t>
      </w:r>
      <w:r w:rsidR="001E4FB2" w:rsidRPr="001B0F0B">
        <w:rPr>
          <w:rFonts w:cstheme="minorHAnsi"/>
          <w:sz w:val="24"/>
          <w:szCs w:val="24"/>
        </w:rPr>
        <w:t xml:space="preserve"> </w:t>
      </w:r>
      <w:r w:rsidR="007F315E" w:rsidRPr="001B0F0B">
        <w:rPr>
          <w:rFonts w:cstheme="minorHAnsi"/>
          <w:sz w:val="24"/>
          <w:szCs w:val="24"/>
        </w:rPr>
        <w:t>internationella relationer</w:t>
      </w:r>
      <w:r w:rsidRPr="001B0F0B">
        <w:rPr>
          <w:rFonts w:cstheme="minorHAnsi"/>
          <w:sz w:val="24"/>
          <w:szCs w:val="24"/>
        </w:rPr>
        <w:t>, inbegripet aktuell specialistkunskap inom en avgränsad del av detta samt fördjupad kunskap i vetenskaplig metodik i allmänhet och det specifika forskningsområdets metoder i synnerhet.</w:t>
      </w:r>
    </w:p>
    <w:p w14:paraId="7A836595" w14:textId="77777777" w:rsidR="00B66035" w:rsidRPr="001B0F0B" w:rsidRDefault="00B66035" w:rsidP="004140ED">
      <w:pPr>
        <w:spacing w:after="120" w:line="240" w:lineRule="auto"/>
        <w:rPr>
          <w:rFonts w:cstheme="minorHAnsi"/>
          <w:sz w:val="24"/>
          <w:szCs w:val="24"/>
          <w:u w:val="single"/>
        </w:rPr>
      </w:pPr>
      <w:bookmarkStart w:id="35" w:name="R584"/>
      <w:bookmarkEnd w:id="35"/>
      <w:r w:rsidRPr="001B0F0B">
        <w:rPr>
          <w:rFonts w:cstheme="minorHAnsi"/>
          <w:sz w:val="24"/>
          <w:szCs w:val="24"/>
          <w:u w:val="single"/>
        </w:rPr>
        <w:t>Färdighet och förmåga</w:t>
      </w:r>
      <w:bookmarkStart w:id="36" w:name="S1079"/>
      <w:bookmarkEnd w:id="36"/>
    </w:p>
    <w:p w14:paraId="1DDD093B" w14:textId="77777777" w:rsidR="00B66035" w:rsidRPr="001B0F0B" w:rsidRDefault="00B66035" w:rsidP="004140ED">
      <w:pPr>
        <w:spacing w:after="120" w:line="240" w:lineRule="auto"/>
        <w:rPr>
          <w:rFonts w:cstheme="minorHAnsi"/>
          <w:sz w:val="24"/>
          <w:szCs w:val="24"/>
        </w:rPr>
      </w:pPr>
      <w:r w:rsidRPr="001B0F0B">
        <w:rPr>
          <w:rFonts w:cstheme="minorHAnsi"/>
          <w:sz w:val="24"/>
          <w:szCs w:val="24"/>
        </w:rPr>
        <w:t>För licentiatexamen skall doktoranden</w:t>
      </w:r>
    </w:p>
    <w:p w14:paraId="43B7D8E7" w14:textId="77777777" w:rsidR="00B66035" w:rsidRPr="001B0F0B" w:rsidRDefault="00B66035" w:rsidP="004140ED">
      <w:pPr>
        <w:spacing w:after="120" w:line="240" w:lineRule="auto"/>
        <w:rPr>
          <w:rFonts w:cstheme="minorHAnsi"/>
          <w:sz w:val="24"/>
          <w:szCs w:val="24"/>
        </w:rPr>
      </w:pPr>
      <w:bookmarkStart w:id="37" w:name="S1080"/>
      <w:bookmarkEnd w:id="37"/>
      <w:r w:rsidRPr="001B0F0B">
        <w:rPr>
          <w:rFonts w:cstheme="minorHAnsi"/>
          <w:sz w:val="24"/>
          <w:szCs w:val="24"/>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p w14:paraId="7F08DFCB" w14:textId="77777777" w:rsidR="00B66035" w:rsidRPr="001B0F0B" w:rsidRDefault="00B66035" w:rsidP="004140ED">
      <w:pPr>
        <w:spacing w:after="120" w:line="240" w:lineRule="auto"/>
        <w:rPr>
          <w:rFonts w:cstheme="minorHAnsi"/>
          <w:sz w:val="24"/>
          <w:szCs w:val="24"/>
        </w:rPr>
      </w:pPr>
      <w:bookmarkStart w:id="38" w:name="S1081"/>
      <w:bookmarkEnd w:id="38"/>
      <w:r w:rsidRPr="001B0F0B">
        <w:rPr>
          <w:rFonts w:cstheme="minorHAnsi"/>
          <w:sz w:val="24"/>
          <w:szCs w:val="24"/>
        </w:rPr>
        <w:t>visa förmåga att i såväl nationella som internationella sammanhang muntligt och skriftligt klart presentera och diskutera forskning och forskningsresultat i dialog med vetenskapssamhället och samhället i övrigt, och</w:t>
      </w:r>
    </w:p>
    <w:p w14:paraId="127E72B3" w14:textId="77777777" w:rsidR="00B66035" w:rsidRPr="001B0F0B" w:rsidRDefault="00B66035" w:rsidP="004140ED">
      <w:pPr>
        <w:spacing w:after="120" w:line="240" w:lineRule="auto"/>
        <w:rPr>
          <w:rFonts w:cstheme="minorHAnsi"/>
          <w:sz w:val="24"/>
          <w:szCs w:val="24"/>
        </w:rPr>
      </w:pPr>
      <w:bookmarkStart w:id="39" w:name="S1082"/>
      <w:bookmarkEnd w:id="39"/>
      <w:r w:rsidRPr="001B0F0B">
        <w:rPr>
          <w:rFonts w:cstheme="minorHAnsi"/>
          <w:sz w:val="24"/>
          <w:szCs w:val="24"/>
        </w:rPr>
        <w:t>visa sådan färdighet som fordras för att självständigt delta i forsknings- och utvecklingsarbete och för att självständigt arbeta i annan kvalificerad verksamhet.</w:t>
      </w:r>
    </w:p>
    <w:p w14:paraId="1802EB90" w14:textId="77777777" w:rsidR="00B66035" w:rsidRPr="001B0F0B" w:rsidRDefault="00B66035" w:rsidP="004140ED">
      <w:pPr>
        <w:spacing w:after="120" w:line="240" w:lineRule="auto"/>
        <w:rPr>
          <w:rFonts w:cstheme="minorHAnsi"/>
          <w:sz w:val="24"/>
          <w:szCs w:val="24"/>
          <w:u w:val="single"/>
        </w:rPr>
      </w:pPr>
      <w:bookmarkStart w:id="40" w:name="R585"/>
      <w:bookmarkEnd w:id="40"/>
      <w:r w:rsidRPr="001B0F0B">
        <w:rPr>
          <w:rFonts w:cstheme="minorHAnsi"/>
          <w:sz w:val="24"/>
          <w:szCs w:val="24"/>
          <w:u w:val="single"/>
        </w:rPr>
        <w:t>Värderingsförmåga och förhållningssätt</w:t>
      </w:r>
    </w:p>
    <w:p w14:paraId="43139F12" w14:textId="77777777" w:rsidR="00B66035" w:rsidRPr="001B0F0B" w:rsidRDefault="00B66035" w:rsidP="004140ED">
      <w:pPr>
        <w:spacing w:after="120" w:line="240" w:lineRule="auto"/>
        <w:rPr>
          <w:rFonts w:cstheme="minorHAnsi"/>
          <w:sz w:val="24"/>
          <w:szCs w:val="24"/>
        </w:rPr>
      </w:pPr>
      <w:bookmarkStart w:id="41" w:name="S1083"/>
      <w:bookmarkEnd w:id="41"/>
      <w:r w:rsidRPr="001B0F0B">
        <w:rPr>
          <w:rFonts w:cstheme="minorHAnsi"/>
          <w:sz w:val="24"/>
          <w:szCs w:val="24"/>
        </w:rPr>
        <w:t>För licentiatexamen skall doktoranden</w:t>
      </w:r>
    </w:p>
    <w:p w14:paraId="62CA5260" w14:textId="77777777" w:rsidR="00B66035" w:rsidRPr="001B0F0B" w:rsidRDefault="00B66035" w:rsidP="004140ED">
      <w:pPr>
        <w:spacing w:after="120" w:line="240" w:lineRule="auto"/>
        <w:rPr>
          <w:rFonts w:cstheme="minorHAnsi"/>
          <w:sz w:val="24"/>
          <w:szCs w:val="24"/>
        </w:rPr>
      </w:pPr>
      <w:bookmarkStart w:id="42" w:name="S1084"/>
      <w:bookmarkEnd w:id="42"/>
      <w:r w:rsidRPr="001B0F0B">
        <w:rPr>
          <w:rFonts w:cstheme="minorHAnsi"/>
          <w:sz w:val="24"/>
          <w:szCs w:val="24"/>
        </w:rPr>
        <w:t>visa förmåga att göra forskningsetiska bedömningar i sin egen forskning,</w:t>
      </w:r>
    </w:p>
    <w:p w14:paraId="06C708BE" w14:textId="77777777" w:rsidR="00B66035" w:rsidRPr="001B0F0B" w:rsidRDefault="00B66035" w:rsidP="004140ED">
      <w:pPr>
        <w:spacing w:after="120" w:line="240" w:lineRule="auto"/>
        <w:rPr>
          <w:rFonts w:cstheme="minorHAnsi"/>
          <w:sz w:val="24"/>
          <w:szCs w:val="24"/>
        </w:rPr>
      </w:pPr>
      <w:bookmarkStart w:id="43" w:name="S1085"/>
      <w:bookmarkEnd w:id="43"/>
      <w:r w:rsidRPr="001B0F0B">
        <w:rPr>
          <w:rFonts w:cstheme="minorHAnsi"/>
          <w:sz w:val="24"/>
          <w:szCs w:val="24"/>
        </w:rPr>
        <w:t>visa insikt om vetenskapens möjligheter och begränsningar, dess roll i samhället och människors ansvar för hur den används, och</w:t>
      </w:r>
    </w:p>
    <w:p w14:paraId="1CA708AA" w14:textId="77777777" w:rsidR="00B66035" w:rsidRPr="001B0F0B" w:rsidRDefault="00B66035" w:rsidP="004140ED">
      <w:pPr>
        <w:spacing w:after="120" w:line="240" w:lineRule="auto"/>
        <w:rPr>
          <w:rFonts w:cstheme="minorHAnsi"/>
          <w:sz w:val="24"/>
          <w:szCs w:val="24"/>
        </w:rPr>
      </w:pPr>
      <w:bookmarkStart w:id="44" w:name="S1086"/>
      <w:bookmarkEnd w:id="44"/>
      <w:r w:rsidRPr="001B0F0B">
        <w:rPr>
          <w:rFonts w:cstheme="minorHAnsi"/>
          <w:sz w:val="24"/>
          <w:szCs w:val="24"/>
        </w:rPr>
        <w:t>visa förmåga att identifiera sitt behov av ytterligare kunskap och att ta ansvar för sin kunskapsutveckling.</w:t>
      </w:r>
    </w:p>
    <w:p w14:paraId="4F04189B" w14:textId="77777777" w:rsidR="00B66035" w:rsidRPr="001B0F0B" w:rsidRDefault="00B66035" w:rsidP="004140ED">
      <w:pPr>
        <w:spacing w:after="120" w:line="240" w:lineRule="auto"/>
        <w:rPr>
          <w:rFonts w:cstheme="minorHAnsi"/>
          <w:sz w:val="24"/>
          <w:szCs w:val="24"/>
          <w:u w:val="single"/>
        </w:rPr>
      </w:pPr>
      <w:r w:rsidRPr="001B0F0B">
        <w:rPr>
          <w:rFonts w:cstheme="minorHAnsi"/>
          <w:sz w:val="24"/>
          <w:szCs w:val="24"/>
          <w:u w:val="single"/>
        </w:rPr>
        <w:t>Vetenskaplig uppsats</w:t>
      </w:r>
    </w:p>
    <w:p w14:paraId="6B30CAA6" w14:textId="77777777" w:rsidR="00B66035" w:rsidRPr="001B0F0B" w:rsidRDefault="00B66035" w:rsidP="004140ED">
      <w:pPr>
        <w:spacing w:after="120" w:line="240" w:lineRule="auto"/>
        <w:rPr>
          <w:rFonts w:cstheme="minorHAnsi"/>
          <w:sz w:val="24"/>
          <w:szCs w:val="24"/>
        </w:rPr>
      </w:pPr>
      <w:bookmarkStart w:id="45" w:name="S1087"/>
      <w:bookmarkEnd w:id="45"/>
      <w:r w:rsidRPr="001B0F0B">
        <w:rPr>
          <w:rFonts w:cstheme="minorHAnsi"/>
          <w:sz w:val="24"/>
          <w:szCs w:val="24"/>
        </w:rPr>
        <w:t>För licentiatexamen</w:t>
      </w:r>
      <w:r w:rsidR="001E4FB2" w:rsidRPr="001B0F0B">
        <w:rPr>
          <w:rFonts w:cstheme="minorHAnsi"/>
          <w:sz w:val="24"/>
          <w:szCs w:val="24"/>
        </w:rPr>
        <w:t xml:space="preserve"> i </w:t>
      </w:r>
      <w:r w:rsidR="007F315E" w:rsidRPr="001B0F0B">
        <w:rPr>
          <w:rFonts w:cstheme="minorHAnsi"/>
          <w:sz w:val="24"/>
          <w:szCs w:val="24"/>
        </w:rPr>
        <w:t>internationella relationer</w:t>
      </w:r>
      <w:r w:rsidRPr="001B0F0B">
        <w:rPr>
          <w:rFonts w:cstheme="minorHAnsi"/>
          <w:sz w:val="24"/>
          <w:szCs w:val="24"/>
        </w:rPr>
        <w:t xml:space="preserve"> skall doktoranden ha fått en vetenskaplig uppsats om 60 högskolepoäng godkänd.</w:t>
      </w:r>
    </w:p>
    <w:p w14:paraId="49DB2210" w14:textId="77777777" w:rsidR="004F1EA0" w:rsidRPr="001B0F0B" w:rsidRDefault="004F1EA0" w:rsidP="004140ED">
      <w:pPr>
        <w:spacing w:after="120" w:line="240" w:lineRule="auto"/>
        <w:rPr>
          <w:rFonts w:cstheme="minorHAnsi"/>
          <w:sz w:val="24"/>
          <w:szCs w:val="24"/>
        </w:rPr>
      </w:pPr>
    </w:p>
    <w:p w14:paraId="76B69F0B" w14:textId="77777777" w:rsidR="00431661" w:rsidRPr="001B0F0B" w:rsidRDefault="004140ED" w:rsidP="00D7239A">
      <w:pPr>
        <w:pStyle w:val="Heading2"/>
      </w:pPr>
      <w:bookmarkStart w:id="46" w:name="R587"/>
      <w:bookmarkStart w:id="47" w:name="_Toc441140838"/>
      <w:bookmarkStart w:id="48" w:name="_Toc441142500"/>
      <w:bookmarkStart w:id="49" w:name="_Hlk482954076"/>
      <w:bookmarkEnd w:id="46"/>
      <w:r w:rsidRPr="001B0F0B">
        <w:t xml:space="preserve">4. </w:t>
      </w:r>
      <w:r w:rsidR="00431661" w:rsidRPr="001B0F0B">
        <w:t>Behörighet och förkunskapskrav</w:t>
      </w:r>
      <w:bookmarkEnd w:id="47"/>
      <w:bookmarkEnd w:id="48"/>
    </w:p>
    <w:p w14:paraId="57006407" w14:textId="77777777" w:rsidR="00431661" w:rsidRPr="001B0F0B" w:rsidRDefault="00431661" w:rsidP="007F315E">
      <w:pPr>
        <w:pStyle w:val="Heading3"/>
      </w:pPr>
      <w:bookmarkStart w:id="50" w:name="_Toc441140839"/>
      <w:bookmarkStart w:id="51" w:name="_Toc441142501"/>
      <w:r w:rsidRPr="001B0F0B">
        <w:t>4.1 Grundläggande behörighet</w:t>
      </w:r>
      <w:bookmarkEnd w:id="50"/>
      <w:bookmarkEnd w:id="51"/>
    </w:p>
    <w:p w14:paraId="450A4446" w14:textId="77777777" w:rsidR="00706093" w:rsidRPr="001B0F0B" w:rsidRDefault="003C731B" w:rsidP="004140ED">
      <w:pPr>
        <w:spacing w:after="120" w:line="240" w:lineRule="auto"/>
        <w:rPr>
          <w:rFonts w:cstheme="minorHAnsi"/>
          <w:sz w:val="24"/>
          <w:szCs w:val="24"/>
        </w:rPr>
      </w:pPr>
      <w:r w:rsidRPr="001B0F0B">
        <w:rPr>
          <w:rFonts w:cstheme="minorHAnsi"/>
          <w:sz w:val="24"/>
          <w:szCs w:val="24"/>
        </w:rPr>
        <w:t xml:space="preserve">Grundläggande behörighet till utbildning på forskarnivå har den som har </w:t>
      </w:r>
      <w:bookmarkStart w:id="52" w:name="K7P39S1N1"/>
      <w:bookmarkStart w:id="53" w:name="P39S1N1"/>
      <w:bookmarkEnd w:id="52"/>
      <w:bookmarkEnd w:id="53"/>
    </w:p>
    <w:p w14:paraId="35EA0234" w14:textId="77777777" w:rsidR="00706093" w:rsidRPr="001B0F0B" w:rsidRDefault="003C731B" w:rsidP="004140ED">
      <w:pPr>
        <w:spacing w:after="120" w:line="240" w:lineRule="auto"/>
        <w:rPr>
          <w:rFonts w:cstheme="minorHAnsi"/>
          <w:sz w:val="24"/>
          <w:szCs w:val="24"/>
        </w:rPr>
      </w:pPr>
      <w:r w:rsidRPr="001B0F0B">
        <w:rPr>
          <w:rFonts w:cstheme="minorHAnsi"/>
          <w:sz w:val="24"/>
          <w:szCs w:val="24"/>
        </w:rPr>
        <w:lastRenderedPageBreak/>
        <w:t>avlagt en examen på avancerad nivå,</w:t>
      </w:r>
      <w:bookmarkStart w:id="54" w:name="K7P39S1N2"/>
      <w:bookmarkStart w:id="55" w:name="P39S1N2"/>
      <w:bookmarkEnd w:id="54"/>
      <w:bookmarkEnd w:id="55"/>
    </w:p>
    <w:p w14:paraId="6D635762" w14:textId="77777777" w:rsidR="00706093" w:rsidRPr="001B0F0B" w:rsidRDefault="003C731B" w:rsidP="004140ED">
      <w:pPr>
        <w:spacing w:after="120" w:line="240" w:lineRule="auto"/>
        <w:rPr>
          <w:rFonts w:cstheme="minorHAnsi"/>
          <w:sz w:val="24"/>
          <w:szCs w:val="24"/>
        </w:rPr>
      </w:pPr>
      <w:r w:rsidRPr="001B0F0B">
        <w:rPr>
          <w:rFonts w:cstheme="minorHAnsi"/>
          <w:sz w:val="24"/>
          <w:szCs w:val="24"/>
        </w:rPr>
        <w:t>fullgjort kursfordringar om minst 240 högskolepoäng, varav minst 60 högskolepoäng på avancerad nivå, eller</w:t>
      </w:r>
      <w:bookmarkStart w:id="56" w:name="K7P39S1N3"/>
      <w:bookmarkStart w:id="57" w:name="P39S1N3"/>
      <w:bookmarkEnd w:id="56"/>
      <w:bookmarkEnd w:id="57"/>
    </w:p>
    <w:p w14:paraId="171C4A48" w14:textId="77777777" w:rsidR="00706093" w:rsidRPr="001B0F0B" w:rsidRDefault="003C731B" w:rsidP="004140ED">
      <w:pPr>
        <w:spacing w:after="120" w:line="240" w:lineRule="auto"/>
        <w:rPr>
          <w:rFonts w:cstheme="minorHAnsi"/>
          <w:sz w:val="24"/>
          <w:szCs w:val="24"/>
        </w:rPr>
      </w:pPr>
      <w:r w:rsidRPr="001B0F0B">
        <w:rPr>
          <w:rFonts w:cstheme="minorHAnsi"/>
          <w:sz w:val="24"/>
          <w:szCs w:val="24"/>
        </w:rPr>
        <w:t>på något annat sätt inom eller utom landet förvärvat i huvudsak motsvarande kunskaper.</w:t>
      </w:r>
    </w:p>
    <w:p w14:paraId="335A736A" w14:textId="77777777" w:rsidR="003C731B" w:rsidRPr="001B0F0B" w:rsidRDefault="001E4FB2" w:rsidP="004140ED">
      <w:pPr>
        <w:spacing w:after="120" w:line="240" w:lineRule="auto"/>
        <w:rPr>
          <w:rFonts w:cstheme="minorHAnsi"/>
          <w:sz w:val="24"/>
          <w:szCs w:val="24"/>
        </w:rPr>
      </w:pPr>
      <w:bookmarkStart w:id="58" w:name="K7P39S2"/>
      <w:bookmarkStart w:id="59" w:name="P39S2"/>
      <w:bookmarkEnd w:id="58"/>
      <w:bookmarkEnd w:id="59"/>
      <w:r w:rsidRPr="001B0F0B">
        <w:rPr>
          <w:rFonts w:cstheme="minorHAnsi"/>
          <w:sz w:val="24"/>
          <w:szCs w:val="24"/>
        </w:rPr>
        <w:t xml:space="preserve">Institutionsstyrelsen får </w:t>
      </w:r>
      <w:r w:rsidR="003C731B" w:rsidRPr="001B0F0B">
        <w:rPr>
          <w:rFonts w:cstheme="minorHAnsi"/>
          <w:sz w:val="24"/>
          <w:szCs w:val="24"/>
        </w:rPr>
        <w:t>för en enskild sökande medge undantag från kravet på grundläggande behörighet, om det finns särskilda skäl.</w:t>
      </w:r>
    </w:p>
    <w:p w14:paraId="300A7962" w14:textId="3B98E8DD" w:rsidR="00431661" w:rsidRPr="001B0F0B" w:rsidRDefault="004140ED" w:rsidP="00D7239A">
      <w:pPr>
        <w:pStyle w:val="Heading3"/>
      </w:pPr>
      <w:bookmarkStart w:id="60" w:name="_Toc441140840"/>
      <w:bookmarkStart w:id="61" w:name="_Toc441142502"/>
      <w:r w:rsidRPr="001B0F0B">
        <w:t xml:space="preserve"> 4.2 </w:t>
      </w:r>
      <w:r w:rsidR="00431661" w:rsidRPr="001B0F0B">
        <w:t>Särskild behörighet</w:t>
      </w:r>
      <w:bookmarkEnd w:id="60"/>
      <w:bookmarkEnd w:id="61"/>
    </w:p>
    <w:p w14:paraId="1CDF7035" w14:textId="77777777" w:rsidR="001E4FB2" w:rsidRPr="001B0F0B" w:rsidRDefault="001E4FB2" w:rsidP="003A3BCA">
      <w:pPr>
        <w:spacing w:line="240" w:lineRule="auto"/>
        <w:rPr>
          <w:sz w:val="24"/>
          <w:szCs w:val="24"/>
        </w:rPr>
      </w:pPr>
      <w:r w:rsidRPr="001B0F0B">
        <w:rPr>
          <w:sz w:val="24"/>
          <w:szCs w:val="24"/>
        </w:rPr>
        <w:t xml:space="preserve">För att antas till utbildning på forskarnivå i </w:t>
      </w:r>
      <w:r w:rsidR="007F315E" w:rsidRPr="001B0F0B">
        <w:rPr>
          <w:sz w:val="24"/>
          <w:szCs w:val="24"/>
        </w:rPr>
        <w:t>internationella relationer</w:t>
      </w:r>
      <w:r w:rsidRPr="001B0F0B">
        <w:rPr>
          <w:sz w:val="24"/>
          <w:szCs w:val="24"/>
        </w:rPr>
        <w:t xml:space="preserve"> krävs</w:t>
      </w:r>
    </w:p>
    <w:p w14:paraId="34B4A95F" w14:textId="35BC9069" w:rsidR="001E4FB2" w:rsidRPr="00DF7E4A" w:rsidRDefault="00EE412E" w:rsidP="003A3BCA">
      <w:pPr>
        <w:spacing w:line="240" w:lineRule="auto"/>
        <w:rPr>
          <w:sz w:val="24"/>
          <w:szCs w:val="24"/>
        </w:rPr>
      </w:pPr>
      <w:r>
        <w:rPr>
          <w:sz w:val="24"/>
          <w:szCs w:val="24"/>
        </w:rPr>
        <w:t>-</w:t>
      </w:r>
      <w:r w:rsidR="001E4FB2" w:rsidRPr="001B0F0B">
        <w:rPr>
          <w:sz w:val="24"/>
          <w:szCs w:val="24"/>
        </w:rPr>
        <w:t xml:space="preserve">genomgången utbildning på grundnivå i </w:t>
      </w:r>
      <w:r w:rsidR="007F315E" w:rsidRPr="001B0F0B">
        <w:rPr>
          <w:sz w:val="24"/>
          <w:szCs w:val="24"/>
        </w:rPr>
        <w:t>internationella relationer</w:t>
      </w:r>
      <w:r w:rsidR="001E4FB2" w:rsidRPr="001B0F0B">
        <w:rPr>
          <w:sz w:val="24"/>
          <w:szCs w:val="24"/>
        </w:rPr>
        <w:t xml:space="preserve"> eller motsvarande utbildning om minst 90 högskolepoäng, samt genomgången utbildning på avancerad nivå i </w:t>
      </w:r>
      <w:r w:rsidR="007F315E" w:rsidRPr="001B0F0B">
        <w:rPr>
          <w:sz w:val="24"/>
          <w:szCs w:val="24"/>
        </w:rPr>
        <w:t>internationella relationer</w:t>
      </w:r>
      <w:r w:rsidR="001E4FB2" w:rsidRPr="001B0F0B">
        <w:rPr>
          <w:sz w:val="24"/>
          <w:szCs w:val="24"/>
        </w:rPr>
        <w:t xml:space="preserve"> eller motsvarande utbildning om minst 30 högskolepoäng, varav minst 15 högskolepoäng </w:t>
      </w:r>
      <w:r w:rsidR="00D84F5F">
        <w:rPr>
          <w:sz w:val="24"/>
          <w:szCs w:val="24"/>
        </w:rPr>
        <w:t>(</w:t>
      </w:r>
      <w:r w:rsidR="00D84F5F" w:rsidRPr="00D84F5F">
        <w:rPr>
          <w:sz w:val="24"/>
          <w:szCs w:val="24"/>
        </w:rPr>
        <w:t xml:space="preserve">eller motsvarande) </w:t>
      </w:r>
      <w:r w:rsidR="001E4FB2" w:rsidRPr="001B0F0B">
        <w:rPr>
          <w:sz w:val="24"/>
          <w:szCs w:val="24"/>
        </w:rPr>
        <w:t xml:space="preserve">skall utgöras av </w:t>
      </w:r>
      <w:r w:rsidR="001E4FB2" w:rsidRPr="00EE412E">
        <w:rPr>
          <w:sz w:val="24"/>
          <w:szCs w:val="24"/>
        </w:rPr>
        <w:t xml:space="preserve">självständigt </w:t>
      </w:r>
      <w:r w:rsidR="001E4FB2" w:rsidRPr="00DF7E4A">
        <w:rPr>
          <w:sz w:val="24"/>
          <w:szCs w:val="24"/>
        </w:rPr>
        <w:t>uppsatsarbete</w:t>
      </w:r>
      <w:r w:rsidR="00472E4C" w:rsidRPr="00DF7E4A">
        <w:rPr>
          <w:rFonts w:cstheme="minorHAnsi"/>
          <w:sz w:val="24"/>
        </w:rPr>
        <w:t xml:space="preserve"> på avancerad</w:t>
      </w:r>
      <w:r w:rsidR="00D84F5F" w:rsidRPr="00DF7E4A">
        <w:rPr>
          <w:rFonts w:cstheme="minorHAnsi"/>
          <w:sz w:val="24"/>
        </w:rPr>
        <w:t xml:space="preserve"> (magister- eller mastersuppsats) </w:t>
      </w:r>
      <w:r w:rsidR="00472E4C" w:rsidRPr="00DF7E4A">
        <w:rPr>
          <w:rFonts w:cstheme="minorHAnsi"/>
          <w:sz w:val="24"/>
        </w:rPr>
        <w:t>nivå</w:t>
      </w:r>
      <w:r w:rsidRPr="00DF7E4A">
        <w:rPr>
          <w:rFonts w:cstheme="minorHAnsi"/>
          <w:sz w:val="24"/>
        </w:rPr>
        <w:t>,</w:t>
      </w:r>
    </w:p>
    <w:p w14:paraId="11D27549" w14:textId="0C9987AA" w:rsidR="001E4FB2" w:rsidRPr="00DF7E4A" w:rsidRDefault="00EE412E" w:rsidP="003A3BCA">
      <w:pPr>
        <w:spacing w:line="240" w:lineRule="auto"/>
        <w:rPr>
          <w:sz w:val="24"/>
          <w:szCs w:val="24"/>
        </w:rPr>
      </w:pPr>
      <w:r w:rsidRPr="00DF7E4A">
        <w:rPr>
          <w:sz w:val="24"/>
          <w:szCs w:val="24"/>
        </w:rPr>
        <w:t>-</w:t>
      </w:r>
      <w:r w:rsidR="001E4FB2" w:rsidRPr="00DF7E4A">
        <w:rPr>
          <w:sz w:val="24"/>
          <w:szCs w:val="24"/>
        </w:rPr>
        <w:t>genomgången högskoleutbildning med teoretisk inriktning i</w:t>
      </w:r>
      <w:r w:rsidR="00F61C0B" w:rsidRPr="00DF7E4A">
        <w:rPr>
          <w:sz w:val="24"/>
          <w:szCs w:val="24"/>
        </w:rPr>
        <w:t>,</w:t>
      </w:r>
      <w:r w:rsidR="001E4FB2" w:rsidRPr="00DF7E4A">
        <w:rPr>
          <w:sz w:val="24"/>
          <w:szCs w:val="24"/>
        </w:rPr>
        <w:t xml:space="preserve"> för utbildningen på forskarnivå</w:t>
      </w:r>
      <w:r w:rsidR="00F61C0B" w:rsidRPr="00DF7E4A">
        <w:rPr>
          <w:sz w:val="24"/>
          <w:szCs w:val="24"/>
        </w:rPr>
        <w:t>,</w:t>
      </w:r>
      <w:r w:rsidR="001E4FB2" w:rsidRPr="00DF7E4A">
        <w:rPr>
          <w:sz w:val="24"/>
          <w:szCs w:val="24"/>
        </w:rPr>
        <w:t xml:space="preserve"> relevanta ämnen om ytterligare 60 högskolepoäng eller motsvarande utbildning</w:t>
      </w:r>
      <w:r w:rsidRPr="00DF7E4A">
        <w:rPr>
          <w:sz w:val="24"/>
          <w:szCs w:val="24"/>
        </w:rPr>
        <w:t>,</w:t>
      </w:r>
    </w:p>
    <w:p w14:paraId="1F075766" w14:textId="064236F4" w:rsidR="00D7239A" w:rsidRPr="00DF7E4A" w:rsidRDefault="00EE412E" w:rsidP="003A3BCA">
      <w:pPr>
        <w:spacing w:line="240" w:lineRule="auto"/>
        <w:rPr>
          <w:sz w:val="24"/>
          <w:szCs w:val="24"/>
        </w:rPr>
      </w:pPr>
      <w:r w:rsidRPr="00DF7E4A">
        <w:rPr>
          <w:sz w:val="24"/>
          <w:szCs w:val="24"/>
        </w:rPr>
        <w:t>-</w:t>
      </w:r>
      <w:r w:rsidR="001E4FB2" w:rsidRPr="00DF7E4A">
        <w:rPr>
          <w:sz w:val="24"/>
          <w:szCs w:val="24"/>
        </w:rPr>
        <w:t>tillräckliga kunskaper i engelska för att kunna tillgodogöra sig utbildningen på forskarnivå.</w:t>
      </w:r>
    </w:p>
    <w:p w14:paraId="77B093EE" w14:textId="77777777" w:rsidR="003E4631" w:rsidRPr="00DF7E4A" w:rsidRDefault="001C29C8" w:rsidP="00D7239A">
      <w:pPr>
        <w:pStyle w:val="Heading2"/>
      </w:pPr>
      <w:bookmarkStart w:id="62" w:name="_Toc441140841"/>
      <w:bookmarkStart w:id="63" w:name="_Toc441142503"/>
      <w:bookmarkEnd w:id="49"/>
      <w:r w:rsidRPr="00DF7E4A">
        <w:t xml:space="preserve">5. </w:t>
      </w:r>
      <w:r w:rsidR="00431661" w:rsidRPr="00DF7E4A">
        <w:t>Utlysning och antagningsförfarande</w:t>
      </w:r>
      <w:bookmarkEnd w:id="62"/>
      <w:bookmarkEnd w:id="63"/>
    </w:p>
    <w:p w14:paraId="4C281449" w14:textId="15EA11BC" w:rsidR="00A2107A" w:rsidRDefault="007F315E" w:rsidP="007F315E">
      <w:pPr>
        <w:spacing w:after="0" w:line="249" w:lineRule="auto"/>
        <w:rPr>
          <w:rFonts w:cstheme="minorHAnsi"/>
          <w:sz w:val="24"/>
        </w:rPr>
      </w:pPr>
      <w:r w:rsidRPr="00DF7E4A">
        <w:rPr>
          <w:rFonts w:cstheme="minorHAnsi"/>
          <w:sz w:val="24"/>
        </w:rPr>
        <w:t xml:space="preserve">Utbildning på forskarnivå i internationella relationer ges i den omfattning tillgängliga resurser medger. Ansökning till utbildningen på forskarnivå ges vid två tillfällen per läsår. Sista ansökningsdag är den 1 december respektive den 10 juni. Till sin ansökan skall den sökande bifoga självständigt arbete från utbildning på avancerad nivå (magister- eller mastersuppsats) samt andra relevanta handlingar som sökanden önskar åberopa. Vidare skall en beskrivning av det planerade avhandlingsämnet bifogas (närmare uppgifter om hur en sådan beskrivning bör se ut lämnas av institutionen eller anges vid annonseringen av antagning). Ansökningsdatum till utbildningen på forskarnivå annonseras på institutionens och universitets hemsidor. Andra typer av annonsering kan förekomma. Ansökan görs </w:t>
      </w:r>
      <w:r w:rsidR="00E552A0" w:rsidRPr="00DF7E4A">
        <w:rPr>
          <w:rFonts w:cstheme="minorHAnsi"/>
          <w:sz w:val="24"/>
        </w:rPr>
        <w:t xml:space="preserve">via Stockholms </w:t>
      </w:r>
      <w:r w:rsidR="00EE412E" w:rsidRPr="00DF7E4A">
        <w:rPr>
          <w:rFonts w:cstheme="minorHAnsi"/>
          <w:sz w:val="24"/>
        </w:rPr>
        <w:t>universitets</w:t>
      </w:r>
      <w:r w:rsidR="00E552A0" w:rsidRPr="00DF7E4A">
        <w:rPr>
          <w:rFonts w:cstheme="minorHAnsi"/>
          <w:sz w:val="24"/>
        </w:rPr>
        <w:t xml:space="preserve"> hemsida systemstöd </w:t>
      </w:r>
      <w:proofErr w:type="spellStart"/>
      <w:r w:rsidR="00E552A0" w:rsidRPr="00DF7E4A">
        <w:rPr>
          <w:rFonts w:cstheme="minorHAnsi"/>
          <w:sz w:val="24"/>
        </w:rPr>
        <w:t>ReachMee</w:t>
      </w:r>
      <w:proofErr w:type="spellEnd"/>
      <w:r w:rsidR="00BC592C" w:rsidRPr="00DF7E4A">
        <w:rPr>
          <w:rFonts w:cstheme="minorHAnsi"/>
          <w:sz w:val="24"/>
        </w:rPr>
        <w:t>.</w:t>
      </w:r>
    </w:p>
    <w:p w14:paraId="389F140E" w14:textId="77777777" w:rsidR="00BC592C" w:rsidRPr="001B0F0B" w:rsidRDefault="00BC592C" w:rsidP="007F315E">
      <w:pPr>
        <w:spacing w:after="0" w:line="249" w:lineRule="auto"/>
        <w:rPr>
          <w:rFonts w:cstheme="minorHAnsi"/>
        </w:rPr>
      </w:pPr>
    </w:p>
    <w:p w14:paraId="49D12744" w14:textId="77777777" w:rsidR="007F315E" w:rsidRDefault="007F315E" w:rsidP="007F315E">
      <w:pPr>
        <w:spacing w:after="0" w:line="249" w:lineRule="auto"/>
        <w:rPr>
          <w:rFonts w:cstheme="minorHAnsi"/>
          <w:sz w:val="24"/>
        </w:rPr>
      </w:pPr>
      <w:r w:rsidRPr="001B0F0B">
        <w:rPr>
          <w:rFonts w:cstheme="minorHAnsi"/>
          <w:sz w:val="24"/>
        </w:rPr>
        <w:t xml:space="preserve">På institutionens hemsida publiceras detaljerade instruktioner om vilka handlingar de sökande behöver bifoga i samband med utlysningen.  </w:t>
      </w:r>
    </w:p>
    <w:p w14:paraId="77DC2ECC" w14:textId="77777777" w:rsidR="00FB3F2B" w:rsidRDefault="00FB3F2B" w:rsidP="007F315E">
      <w:pPr>
        <w:spacing w:after="0" w:line="249" w:lineRule="auto"/>
        <w:rPr>
          <w:rFonts w:cstheme="minorHAnsi"/>
          <w:sz w:val="24"/>
        </w:rPr>
      </w:pPr>
    </w:p>
    <w:p w14:paraId="6A35FBD9" w14:textId="68F6719A" w:rsidR="00BC592C" w:rsidRPr="00DF7E4A" w:rsidRDefault="00FB3F2B" w:rsidP="007F315E">
      <w:pPr>
        <w:spacing w:after="0" w:line="249" w:lineRule="auto"/>
        <w:rPr>
          <w:rFonts w:cstheme="minorHAnsi"/>
        </w:rPr>
      </w:pPr>
      <w:r w:rsidRPr="00FB3F2B">
        <w:rPr>
          <w:rFonts w:cstheme="minorHAnsi"/>
          <w:sz w:val="24"/>
        </w:rPr>
        <w:t xml:space="preserve">Beslut om antagning av sökande till utbildning på forskarnivå i internationella relationer, fattas av institutionsstyrelsen vid institutionen för Ekonomisk historia och internationella relationer efter förslag från en av </w:t>
      </w:r>
      <w:r w:rsidRPr="00DF7E4A">
        <w:rPr>
          <w:rFonts w:cstheme="minorHAnsi"/>
          <w:sz w:val="24"/>
        </w:rPr>
        <w:t>styrelsen utsedd rekryteringsgrupp. Institutionsstyrelsen fr inte vidaredelegera beslut om antagning</w:t>
      </w:r>
      <w:r w:rsidRPr="00DF7E4A">
        <w:rPr>
          <w:rFonts w:cstheme="minorHAnsi"/>
          <w:sz w:val="24"/>
          <w:szCs w:val="24"/>
        </w:rPr>
        <w:t>. Vid extern finansiering sker beslut på fakultetsnivå efter förslag från institutionsstyrelsen baserat på underlag från rekryteringsgrupp utsedd av styrelsen. I samband med antagningen ska finansieringen vara säkrad för hela studietiden.</w:t>
      </w:r>
      <w:r w:rsidR="00EE412E" w:rsidRPr="00DF7E4A">
        <w:rPr>
          <w:rFonts w:cstheme="minorHAnsi"/>
          <w:sz w:val="24"/>
          <w:szCs w:val="24"/>
        </w:rPr>
        <w:t xml:space="preserve"> </w:t>
      </w:r>
      <w:r w:rsidRPr="00DF7E4A">
        <w:rPr>
          <w:rFonts w:cstheme="minorHAnsi"/>
          <w:sz w:val="24"/>
          <w:szCs w:val="24"/>
        </w:rPr>
        <w:t>Finansieringen dokumenteras i en finansieringsplan som godkänns av institutionsstyrelsen tillsammans med sökande och handledare.</w:t>
      </w:r>
    </w:p>
    <w:p w14:paraId="3EFB3AF8" w14:textId="77777777" w:rsidR="00D7239A" w:rsidRPr="00DF7E4A" w:rsidRDefault="00D7239A" w:rsidP="007F315E">
      <w:pPr>
        <w:pStyle w:val="Default"/>
        <w:rPr>
          <w:rFonts w:asciiTheme="minorHAnsi" w:hAnsiTheme="minorHAnsi" w:cstheme="minorHAnsi"/>
        </w:rPr>
      </w:pPr>
    </w:p>
    <w:p w14:paraId="4712151C" w14:textId="0D71C3C6" w:rsidR="00431661" w:rsidRPr="00DF7E4A" w:rsidRDefault="00431661" w:rsidP="004140ED">
      <w:pPr>
        <w:pStyle w:val="Heading3"/>
        <w:spacing w:before="0" w:after="120" w:line="240" w:lineRule="auto"/>
        <w:rPr>
          <w:rFonts w:asciiTheme="minorHAnsi" w:hAnsiTheme="minorHAnsi" w:cstheme="minorHAnsi"/>
          <w:szCs w:val="24"/>
        </w:rPr>
      </w:pPr>
      <w:bookmarkStart w:id="64" w:name="_Toc441140842"/>
      <w:bookmarkStart w:id="65" w:name="_Toc441142504"/>
      <w:r w:rsidRPr="00DF7E4A">
        <w:rPr>
          <w:rFonts w:asciiTheme="minorHAnsi" w:hAnsiTheme="minorHAnsi" w:cstheme="minorHAnsi"/>
          <w:szCs w:val="24"/>
        </w:rPr>
        <w:t>5.1 Bedömningsgrunder och urvalskriterier</w:t>
      </w:r>
      <w:bookmarkEnd w:id="64"/>
      <w:bookmarkEnd w:id="65"/>
    </w:p>
    <w:p w14:paraId="1BC0A4EC" w14:textId="77777777" w:rsidR="001E4FB2" w:rsidRPr="00DF7E4A" w:rsidRDefault="001E4FB2" w:rsidP="003A3BCA">
      <w:pPr>
        <w:rPr>
          <w:sz w:val="24"/>
          <w:szCs w:val="24"/>
        </w:rPr>
      </w:pPr>
      <w:r w:rsidRPr="00DF7E4A">
        <w:rPr>
          <w:sz w:val="24"/>
          <w:szCs w:val="24"/>
        </w:rPr>
        <w:t xml:space="preserve">Grunden för urval bland behöriga sökande till utbildningen på forskarnivå är graden av förmåga att tillgodogöra sig utbildningen. Vid bedömning av behöriga sökandes förmåga att tillgodogöra sig utbildningen tillämpas följande urvalskriterier </w:t>
      </w:r>
    </w:p>
    <w:p w14:paraId="4883ABBB" w14:textId="0424F117" w:rsidR="001E4FB2" w:rsidRPr="00DF7E4A" w:rsidRDefault="00EE412E" w:rsidP="003A3BCA">
      <w:pPr>
        <w:rPr>
          <w:sz w:val="24"/>
          <w:szCs w:val="24"/>
        </w:rPr>
      </w:pPr>
      <w:r w:rsidRPr="00DF7E4A">
        <w:rPr>
          <w:sz w:val="24"/>
          <w:szCs w:val="24"/>
        </w:rPr>
        <w:t>-</w:t>
      </w:r>
      <w:r w:rsidR="001E4FB2" w:rsidRPr="00DF7E4A">
        <w:rPr>
          <w:sz w:val="24"/>
          <w:szCs w:val="24"/>
        </w:rPr>
        <w:t xml:space="preserve">självständighet i analys och uppläggning av tidigare arbeten, </w:t>
      </w:r>
    </w:p>
    <w:p w14:paraId="7E5FEF09" w14:textId="1841B8D4" w:rsidR="001E4FB2" w:rsidRPr="00DF7E4A" w:rsidRDefault="00EE412E" w:rsidP="003A3BCA">
      <w:pPr>
        <w:rPr>
          <w:sz w:val="24"/>
          <w:szCs w:val="24"/>
        </w:rPr>
      </w:pPr>
      <w:r w:rsidRPr="00DF7E4A">
        <w:rPr>
          <w:sz w:val="24"/>
          <w:szCs w:val="24"/>
        </w:rPr>
        <w:t>-</w:t>
      </w:r>
      <w:r w:rsidR="001E4FB2" w:rsidRPr="00DF7E4A">
        <w:rPr>
          <w:sz w:val="24"/>
          <w:szCs w:val="24"/>
        </w:rPr>
        <w:t xml:space="preserve">visade förmåga att slutföra arbeten inom givna tidsramar, </w:t>
      </w:r>
    </w:p>
    <w:p w14:paraId="41621EC3" w14:textId="2C5C5CB5" w:rsidR="001E4FB2" w:rsidRPr="00DF7E4A" w:rsidRDefault="00EE412E" w:rsidP="003A3BCA">
      <w:pPr>
        <w:rPr>
          <w:sz w:val="24"/>
          <w:szCs w:val="24"/>
        </w:rPr>
      </w:pPr>
      <w:r w:rsidRPr="00DF7E4A">
        <w:rPr>
          <w:sz w:val="24"/>
          <w:szCs w:val="24"/>
        </w:rPr>
        <w:t>-</w:t>
      </w:r>
      <w:r w:rsidR="001E4FB2" w:rsidRPr="00DF7E4A">
        <w:rPr>
          <w:sz w:val="24"/>
          <w:szCs w:val="24"/>
        </w:rPr>
        <w:t>förmåga att kunna formulera undersöknings- och problemområden, både i de tidigare arbetena och i forskningsplanen för det planerade avhandlingsarbete</w:t>
      </w:r>
      <w:r w:rsidR="00FB3F2B" w:rsidRPr="00DF7E4A">
        <w:rPr>
          <w:sz w:val="24"/>
          <w:szCs w:val="24"/>
        </w:rPr>
        <w:t>,</w:t>
      </w:r>
      <w:r w:rsidR="001E4FB2" w:rsidRPr="00DF7E4A">
        <w:rPr>
          <w:sz w:val="24"/>
          <w:szCs w:val="24"/>
        </w:rPr>
        <w:t xml:space="preserve"> </w:t>
      </w:r>
    </w:p>
    <w:p w14:paraId="6C42E74B" w14:textId="6E5D4E5D" w:rsidR="001E4FB2" w:rsidRPr="00DF7E4A" w:rsidRDefault="00EE412E" w:rsidP="003A3BCA">
      <w:pPr>
        <w:rPr>
          <w:sz w:val="24"/>
          <w:szCs w:val="24"/>
        </w:rPr>
      </w:pPr>
      <w:r w:rsidRPr="00DF7E4A">
        <w:rPr>
          <w:sz w:val="24"/>
          <w:szCs w:val="24"/>
        </w:rPr>
        <w:t>-</w:t>
      </w:r>
      <w:r w:rsidR="001E4FB2" w:rsidRPr="00DF7E4A">
        <w:rPr>
          <w:sz w:val="24"/>
          <w:szCs w:val="24"/>
        </w:rPr>
        <w:t>grad av metodologisk och vetenskaplig mognad i tidigare utförda arbeten, samt i forskningsplanen</w:t>
      </w:r>
      <w:r w:rsidR="00FB3F2B" w:rsidRPr="00DF7E4A">
        <w:rPr>
          <w:sz w:val="24"/>
          <w:szCs w:val="24"/>
        </w:rPr>
        <w:t>,</w:t>
      </w:r>
    </w:p>
    <w:p w14:paraId="48044D02" w14:textId="5DD9A3B1" w:rsidR="00D7239A" w:rsidRPr="00DF7E4A" w:rsidRDefault="00EE412E" w:rsidP="00EE412E">
      <w:pPr>
        <w:rPr>
          <w:sz w:val="24"/>
          <w:szCs w:val="24"/>
        </w:rPr>
      </w:pPr>
      <w:r w:rsidRPr="00DF7E4A">
        <w:rPr>
          <w:sz w:val="24"/>
          <w:szCs w:val="24"/>
        </w:rPr>
        <w:t>-</w:t>
      </w:r>
      <w:r w:rsidR="001E4FB2" w:rsidRPr="00DF7E4A">
        <w:rPr>
          <w:sz w:val="24"/>
          <w:szCs w:val="24"/>
        </w:rPr>
        <w:t>förmåga till kommunikation, både skriftligt och muntligt</w:t>
      </w:r>
      <w:r w:rsidR="00FB3F2B" w:rsidRPr="00DF7E4A">
        <w:rPr>
          <w:sz w:val="24"/>
          <w:szCs w:val="24"/>
        </w:rPr>
        <w:t>.</w:t>
      </w:r>
    </w:p>
    <w:p w14:paraId="680B17B2" w14:textId="77777777" w:rsidR="00431661" w:rsidRPr="00DF7E4A" w:rsidRDefault="001C29C8" w:rsidP="001C29C8">
      <w:pPr>
        <w:pStyle w:val="Heading2"/>
      </w:pPr>
      <w:bookmarkStart w:id="66" w:name="_Toc441140843"/>
      <w:bookmarkStart w:id="67" w:name="_Toc441142505"/>
      <w:r w:rsidRPr="00DF7E4A">
        <w:t xml:space="preserve">6. </w:t>
      </w:r>
      <w:r w:rsidR="00431661" w:rsidRPr="00DF7E4A">
        <w:t>Utbildningens innehåll och uppläggning</w:t>
      </w:r>
      <w:bookmarkEnd w:id="66"/>
      <w:bookmarkEnd w:id="67"/>
    </w:p>
    <w:p w14:paraId="642BF433" w14:textId="77777777" w:rsidR="00B305BE" w:rsidRPr="00DF7E4A" w:rsidRDefault="00B305BE" w:rsidP="003A3BCA">
      <w:pPr>
        <w:rPr>
          <w:sz w:val="24"/>
          <w:szCs w:val="24"/>
        </w:rPr>
      </w:pPr>
      <w:r w:rsidRPr="00DF7E4A">
        <w:rPr>
          <w:sz w:val="24"/>
          <w:szCs w:val="24"/>
        </w:rPr>
        <w:t xml:space="preserve">Utbildningen på forskarnivå i </w:t>
      </w:r>
      <w:r w:rsidR="007F315E" w:rsidRPr="00DF7E4A">
        <w:rPr>
          <w:sz w:val="24"/>
          <w:szCs w:val="24"/>
        </w:rPr>
        <w:t>internationella relationer</w:t>
      </w:r>
      <w:r w:rsidRPr="00DF7E4A">
        <w:rPr>
          <w:sz w:val="24"/>
          <w:szCs w:val="24"/>
        </w:rPr>
        <w:t xml:space="preserve"> är så upplagd att studierna normalt kräver fyra år för heltidsstuderande. Det förutsätts att doktoranden har de förkunskaper som krävs och utnyttjar undervisningen effektivt. Utbildningen till doktorsexamen omfattar 240 högskolepoäng och består av en kursdel och en avhandlingsdel. Kursdelen omfattar 75 högskolepoäng och </w:t>
      </w:r>
      <w:r w:rsidR="00D83A30" w:rsidRPr="00DF7E4A">
        <w:rPr>
          <w:sz w:val="24"/>
          <w:szCs w:val="24"/>
        </w:rPr>
        <w:t>doktorsavhandlingen</w:t>
      </w:r>
      <w:r w:rsidRPr="00DF7E4A">
        <w:rPr>
          <w:sz w:val="24"/>
          <w:szCs w:val="24"/>
        </w:rPr>
        <w:t xml:space="preserve"> 165 högskolepoäng. Utbildning på forskarnivå i </w:t>
      </w:r>
      <w:r w:rsidR="007F315E" w:rsidRPr="00DF7E4A">
        <w:rPr>
          <w:sz w:val="24"/>
          <w:szCs w:val="24"/>
        </w:rPr>
        <w:t>internationella relationer</w:t>
      </w:r>
      <w:r w:rsidRPr="00DF7E4A">
        <w:rPr>
          <w:sz w:val="24"/>
          <w:szCs w:val="24"/>
        </w:rPr>
        <w:t xml:space="preserve"> som avslutas med licentiatexamen omfattar 120 högskolepoäng. Kursdelen omfattar 60 högskolepoäng och licentiatuppsatsen likaså 60 högskolepoäng.</w:t>
      </w:r>
    </w:p>
    <w:p w14:paraId="05443C25" w14:textId="77777777" w:rsidR="00B305BE" w:rsidRPr="00DF7E4A" w:rsidRDefault="00B305BE" w:rsidP="003A3BCA">
      <w:pPr>
        <w:rPr>
          <w:sz w:val="24"/>
          <w:szCs w:val="24"/>
        </w:rPr>
      </w:pPr>
      <w:r w:rsidRPr="00DF7E4A">
        <w:rPr>
          <w:sz w:val="24"/>
          <w:szCs w:val="24"/>
        </w:rPr>
        <w:lastRenderedPageBreak/>
        <w:t xml:space="preserve">Undervisning på de obligatoriska kurserna som ingår i utbildningen på forskarnivå (se punkt 7 nedan) ges så vitt möjligt är en gång per två år. </w:t>
      </w:r>
    </w:p>
    <w:p w14:paraId="6E733910" w14:textId="2979F09D" w:rsidR="00BD7510" w:rsidRPr="00DF7E4A" w:rsidRDefault="00B305BE" w:rsidP="003A3BCA">
      <w:pPr>
        <w:rPr>
          <w:spacing w:val="5"/>
          <w:sz w:val="24"/>
          <w:szCs w:val="24"/>
        </w:rPr>
      </w:pPr>
      <w:r w:rsidRPr="00DF7E4A">
        <w:rPr>
          <w:spacing w:val="5"/>
          <w:sz w:val="24"/>
          <w:szCs w:val="24"/>
        </w:rPr>
        <w:t>Utbildningstiden får förlängas endast om det finns särskilda skäl för det, såsom ledighet på grund av sjukdom, för tjänstgöring inom totalförsvaret eller för förtroendeuppdrag inom fackliga organisationer och studentorganisationer eller föräldraledighet.</w:t>
      </w:r>
      <w:r w:rsidR="00BC592C" w:rsidRPr="00DF7E4A">
        <w:rPr>
          <w:spacing w:val="5"/>
          <w:sz w:val="24"/>
          <w:szCs w:val="24"/>
        </w:rPr>
        <w:t xml:space="preserve"> Detaljer i studiernas uppläggning bestäms under punkt 6.3 samt i </w:t>
      </w:r>
      <w:r w:rsidR="00EE412E" w:rsidRPr="00DF7E4A">
        <w:rPr>
          <w:spacing w:val="5"/>
          <w:sz w:val="24"/>
          <w:szCs w:val="24"/>
        </w:rPr>
        <w:t>en individuell studieplan</w:t>
      </w:r>
      <w:r w:rsidR="00BC592C" w:rsidRPr="00DF7E4A">
        <w:rPr>
          <w:spacing w:val="5"/>
          <w:sz w:val="24"/>
          <w:szCs w:val="24"/>
        </w:rPr>
        <w:t>.</w:t>
      </w:r>
    </w:p>
    <w:p w14:paraId="55611D30" w14:textId="5E20D227" w:rsidR="00431661" w:rsidRPr="00DF7E4A" w:rsidRDefault="00D84F5F" w:rsidP="00D84F5F">
      <w:pPr>
        <w:pStyle w:val="Heading3"/>
        <w:spacing w:before="0" w:after="120" w:line="240" w:lineRule="auto"/>
        <w:rPr>
          <w:rFonts w:asciiTheme="minorHAnsi" w:hAnsiTheme="minorHAnsi" w:cstheme="minorHAnsi"/>
          <w:szCs w:val="24"/>
        </w:rPr>
      </w:pPr>
      <w:bookmarkStart w:id="68" w:name="_Toc441140844"/>
      <w:bookmarkStart w:id="69" w:name="_Toc441142506"/>
      <w:r w:rsidRPr="00DF7E4A">
        <w:rPr>
          <w:rFonts w:asciiTheme="minorHAnsi" w:hAnsiTheme="minorHAnsi" w:cstheme="minorHAnsi"/>
          <w:szCs w:val="24"/>
        </w:rPr>
        <w:t>6.1</w:t>
      </w:r>
      <w:r w:rsidR="004140ED" w:rsidRPr="00DF7E4A">
        <w:rPr>
          <w:rFonts w:asciiTheme="minorHAnsi" w:hAnsiTheme="minorHAnsi" w:cstheme="minorHAnsi"/>
          <w:szCs w:val="24"/>
        </w:rPr>
        <w:t xml:space="preserve"> </w:t>
      </w:r>
      <w:r w:rsidR="00431661" w:rsidRPr="00DF7E4A">
        <w:rPr>
          <w:rFonts w:asciiTheme="minorHAnsi" w:hAnsiTheme="minorHAnsi" w:cstheme="minorHAnsi"/>
          <w:szCs w:val="24"/>
        </w:rPr>
        <w:t>Individuell studieplan</w:t>
      </w:r>
      <w:bookmarkEnd w:id="68"/>
      <w:bookmarkEnd w:id="69"/>
    </w:p>
    <w:p w14:paraId="09A99661" w14:textId="01F7D10E" w:rsidR="00B305BE" w:rsidRPr="00DF7E4A" w:rsidRDefault="00BC592C" w:rsidP="003A3BCA">
      <w:pPr>
        <w:rPr>
          <w:bCs/>
          <w:sz w:val="24"/>
          <w:szCs w:val="24"/>
        </w:rPr>
      </w:pPr>
      <w:r w:rsidRPr="00DF7E4A">
        <w:rPr>
          <w:sz w:val="24"/>
          <w:szCs w:val="24"/>
        </w:rPr>
        <w:t>För varje doktorand ska det upprättas en individuell studieplan</w:t>
      </w:r>
      <w:r w:rsidR="00B305BE" w:rsidRPr="00DF7E4A">
        <w:rPr>
          <w:sz w:val="24"/>
          <w:szCs w:val="24"/>
        </w:rPr>
        <w:t xml:space="preserve">. Den individuella studieplanen skall innehålla en tidsplan för doktorandens utbildning, en beskrivning av de åtaganden som doktoranden och institutionen har under utbildningstiden samt vad som i övrigt behövs för att utbildningen skall kunna bedrivas på ett effektivt sätt. Till studieplanen fogas en finansieringsplan som anger hur studierna år för år skall finansieras fram till examen. Mall för </w:t>
      </w:r>
      <w:r w:rsidR="00B305BE" w:rsidRPr="00DF7E4A">
        <w:rPr>
          <w:bCs/>
          <w:sz w:val="24"/>
          <w:szCs w:val="24"/>
        </w:rPr>
        <w:t>individuell studieplan finns att ladda ned från samhällsvetenskapliga fakultetens hemsida</w:t>
      </w:r>
      <w:r w:rsidR="00D83A30" w:rsidRPr="00DF7E4A">
        <w:rPr>
          <w:bCs/>
          <w:sz w:val="24"/>
          <w:szCs w:val="24"/>
        </w:rPr>
        <w:t xml:space="preserve">. </w:t>
      </w:r>
    </w:p>
    <w:p w14:paraId="49FAB5D8" w14:textId="7450A7DE" w:rsidR="00B305BE" w:rsidRPr="001B0F0B" w:rsidRDefault="00B305BE" w:rsidP="00102330">
      <w:pPr>
        <w:rPr>
          <w:sz w:val="24"/>
          <w:szCs w:val="24"/>
        </w:rPr>
      </w:pPr>
      <w:r w:rsidRPr="00DF7E4A">
        <w:rPr>
          <w:sz w:val="24"/>
          <w:szCs w:val="24"/>
        </w:rPr>
        <w:t>Den individuella studieplanen följs upp minst en gång varje år på ett sådant sätt att det tydligt framgår hur utbildningen fortgår</w:t>
      </w:r>
      <w:r w:rsidRPr="00DF7E4A">
        <w:rPr>
          <w:b/>
          <w:sz w:val="24"/>
          <w:szCs w:val="24"/>
        </w:rPr>
        <w:t>.</w:t>
      </w:r>
      <w:r w:rsidRPr="00DF7E4A">
        <w:rPr>
          <w:sz w:val="24"/>
          <w:szCs w:val="24"/>
        </w:rPr>
        <w:t xml:space="preserve"> Doktorand, handledare och prefekt skall skriftligen intyga att de tagit del av studieplanens uppföljning. </w:t>
      </w:r>
      <w:r w:rsidR="00102330" w:rsidRPr="00DF7E4A">
        <w:rPr>
          <w:sz w:val="24"/>
          <w:szCs w:val="24"/>
        </w:rPr>
        <w:t>Den individuella s</w:t>
      </w:r>
      <w:r w:rsidRPr="00DF7E4A">
        <w:rPr>
          <w:sz w:val="24"/>
          <w:szCs w:val="24"/>
        </w:rPr>
        <w:t>tudieplanen fastställs av</w:t>
      </w:r>
      <w:r w:rsidR="00C74BF1" w:rsidRPr="00DF7E4A">
        <w:rPr>
          <w:sz w:val="24"/>
          <w:szCs w:val="24"/>
        </w:rPr>
        <w:t xml:space="preserve"> </w:t>
      </w:r>
      <w:r w:rsidR="00DF23B6" w:rsidRPr="00DF7E4A">
        <w:rPr>
          <w:sz w:val="24"/>
          <w:szCs w:val="24"/>
        </w:rPr>
        <w:t xml:space="preserve">institutionsstyrelsen </w:t>
      </w:r>
      <w:r w:rsidRPr="00DF7E4A">
        <w:rPr>
          <w:sz w:val="24"/>
          <w:szCs w:val="24"/>
        </w:rPr>
        <w:t xml:space="preserve">efter samråd med doktoranden och hans eller hennes handledare. </w:t>
      </w:r>
      <w:r w:rsidR="00102330" w:rsidRPr="00DF7E4A">
        <w:rPr>
          <w:sz w:val="24"/>
          <w:szCs w:val="24"/>
        </w:rPr>
        <w:t>För detaljer beträffande upprättande, hantering och uppföljning av de individuella studieplanerna se 6 kap 29 och 30 §§ högskoleförordningen, Föreskrifter för utbildning på forskarnivå vid Stockholms universitet samt Humanvetenskapliga områdets anvisningar och samhällsvetenskapliga fakultetens riktlinjer.</w:t>
      </w:r>
    </w:p>
    <w:p w14:paraId="321EF88F" w14:textId="3C087229" w:rsidR="00431661" w:rsidRPr="001B0F0B" w:rsidRDefault="00D84F5F" w:rsidP="00D84F5F">
      <w:pPr>
        <w:pStyle w:val="Heading3"/>
        <w:spacing w:before="0" w:after="120" w:line="240" w:lineRule="auto"/>
        <w:rPr>
          <w:rFonts w:asciiTheme="minorHAnsi" w:hAnsiTheme="minorHAnsi" w:cstheme="minorHAnsi"/>
          <w:szCs w:val="24"/>
        </w:rPr>
      </w:pPr>
      <w:bookmarkStart w:id="70" w:name="_Toc441140845"/>
      <w:bookmarkStart w:id="71" w:name="_Toc441142507"/>
      <w:r>
        <w:rPr>
          <w:rFonts w:asciiTheme="minorHAnsi" w:hAnsiTheme="minorHAnsi" w:cstheme="minorHAnsi"/>
          <w:szCs w:val="24"/>
        </w:rPr>
        <w:t>6.2</w:t>
      </w:r>
      <w:r w:rsidR="004140ED" w:rsidRPr="001B0F0B">
        <w:rPr>
          <w:rFonts w:asciiTheme="minorHAnsi" w:hAnsiTheme="minorHAnsi" w:cstheme="minorHAnsi"/>
          <w:szCs w:val="24"/>
        </w:rPr>
        <w:t xml:space="preserve"> </w:t>
      </w:r>
      <w:r w:rsidR="00431661" w:rsidRPr="001B0F0B">
        <w:rPr>
          <w:rFonts w:asciiTheme="minorHAnsi" w:hAnsiTheme="minorHAnsi" w:cstheme="minorHAnsi"/>
          <w:szCs w:val="24"/>
        </w:rPr>
        <w:t>Handledning och andra resurser</w:t>
      </w:r>
      <w:bookmarkEnd w:id="70"/>
      <w:bookmarkEnd w:id="71"/>
    </w:p>
    <w:p w14:paraId="3F6DA7E9" w14:textId="77777777" w:rsidR="00777C29" w:rsidRDefault="00B305BE" w:rsidP="003A3BCA">
      <w:pPr>
        <w:spacing w:line="240" w:lineRule="auto"/>
        <w:rPr>
          <w:sz w:val="24"/>
          <w:szCs w:val="24"/>
        </w:rPr>
      </w:pPr>
      <w:r w:rsidRPr="001B0F0B">
        <w:rPr>
          <w:sz w:val="24"/>
          <w:szCs w:val="24"/>
        </w:rPr>
        <w:t>För varje doktorand som antas ska</w:t>
      </w:r>
      <w:r w:rsidR="00102330">
        <w:rPr>
          <w:sz w:val="24"/>
          <w:szCs w:val="24"/>
        </w:rPr>
        <w:t xml:space="preserve"> det</w:t>
      </w:r>
      <w:r w:rsidR="00872B8D">
        <w:rPr>
          <w:sz w:val="24"/>
          <w:szCs w:val="24"/>
        </w:rPr>
        <w:t xml:space="preserve"> </w:t>
      </w:r>
      <w:r w:rsidRPr="001B0F0B">
        <w:rPr>
          <w:sz w:val="24"/>
          <w:szCs w:val="24"/>
        </w:rPr>
        <w:t xml:space="preserve">utses minst två handledare, varav en skall utses till huvudhandledare. Minst en av handledarna skall ha genomgått handledarutbildning. Den som utses till huvudhandledare ska vara anställd vid institutionen, eller om institutionsstyrelsen särskilt beslutar om det, vid annan institution eller institut inom fakulteten. Om inte huvudhandledaren är anställd vid institutionen ska någon övrig handledare vara det. </w:t>
      </w:r>
    </w:p>
    <w:p w14:paraId="6CBB3C4E" w14:textId="77777777" w:rsidR="00777C29" w:rsidRDefault="00777C29" w:rsidP="003A3BCA">
      <w:pPr>
        <w:spacing w:line="240" w:lineRule="auto"/>
        <w:rPr>
          <w:sz w:val="24"/>
          <w:szCs w:val="24"/>
        </w:rPr>
      </w:pPr>
    </w:p>
    <w:p w14:paraId="4C667BFE" w14:textId="6CCF6DFC" w:rsidR="00B305BE" w:rsidRPr="001B0F0B" w:rsidRDefault="00B305BE" w:rsidP="003A3BCA">
      <w:pPr>
        <w:spacing w:line="240" w:lineRule="auto"/>
        <w:rPr>
          <w:sz w:val="24"/>
          <w:szCs w:val="24"/>
        </w:rPr>
      </w:pPr>
      <w:r w:rsidRPr="001B0F0B">
        <w:rPr>
          <w:sz w:val="24"/>
          <w:szCs w:val="24"/>
        </w:rPr>
        <w:lastRenderedPageBreak/>
        <w:t>Handledaren skall ge doktoranden råd och anvisningar om studiernas uppläggning, val av område för avhandlingen samt arbetsgång och genomförande av avhandlingsarbetet</w:t>
      </w:r>
      <w:r w:rsidR="000D5D7D">
        <w:rPr>
          <w:sz w:val="24"/>
          <w:szCs w:val="24"/>
        </w:rPr>
        <w:t xml:space="preserve"> fortlöpande under hela studietiden</w:t>
      </w:r>
      <w:r w:rsidRPr="001B0F0B">
        <w:rPr>
          <w:sz w:val="24"/>
          <w:szCs w:val="24"/>
        </w:rPr>
        <w:t>. Den studerande skall genom regelbundna kontakter hålla handledaren underrättad om arbetets fortskridande och inhämta råd om den vidare uppläggningen. Handledaren bör uppmuntra doktoranden att presentera sin forskning i nationella och internationella vetenskapliga sammanhang.</w:t>
      </w:r>
    </w:p>
    <w:p w14:paraId="12AFB01E" w14:textId="77777777" w:rsidR="00B305BE" w:rsidRPr="001B0F0B" w:rsidRDefault="00B305BE" w:rsidP="003A3BCA">
      <w:pPr>
        <w:spacing w:line="240" w:lineRule="auto"/>
        <w:rPr>
          <w:sz w:val="24"/>
          <w:szCs w:val="24"/>
        </w:rPr>
      </w:pPr>
      <w:r w:rsidRPr="001B0F0B">
        <w:rPr>
          <w:sz w:val="24"/>
          <w:szCs w:val="24"/>
        </w:rPr>
        <w:t xml:space="preserve">Beslut om handledare kan ändras </w:t>
      </w:r>
      <w:r w:rsidR="00D83A30" w:rsidRPr="001B0F0B">
        <w:rPr>
          <w:sz w:val="24"/>
          <w:szCs w:val="24"/>
        </w:rPr>
        <w:t xml:space="preserve">av prefekten </w:t>
      </w:r>
      <w:r w:rsidRPr="001B0F0B">
        <w:rPr>
          <w:sz w:val="24"/>
          <w:szCs w:val="24"/>
        </w:rPr>
        <w:t xml:space="preserve">på begäran av doktorand eller av andra skäl. </w:t>
      </w:r>
    </w:p>
    <w:p w14:paraId="79043780" w14:textId="0640C20A" w:rsidR="00B305BE" w:rsidRPr="00DF7E4A" w:rsidRDefault="00B305BE" w:rsidP="00143AA2">
      <w:pPr>
        <w:pStyle w:val="CommentText"/>
      </w:pPr>
      <w:r w:rsidRPr="00DF7E4A">
        <w:rPr>
          <w:spacing w:val="5"/>
        </w:rPr>
        <w:t xml:space="preserve">Doktoranden har rätt till handledning och andra resurser för utbildningen </w:t>
      </w:r>
      <w:r w:rsidR="00EE412E" w:rsidRPr="00DF7E4A">
        <w:rPr>
          <w:spacing w:val="5"/>
        </w:rPr>
        <w:t>under utbildningen</w:t>
      </w:r>
      <w:r w:rsidRPr="00DF7E4A">
        <w:rPr>
          <w:spacing w:val="5"/>
        </w:rPr>
        <w:t xml:space="preserve">, om inte rektor </w:t>
      </w:r>
      <w:r w:rsidRPr="00DF7E4A">
        <w:t xml:space="preserve">efter fakultetsnämndens beredning </w:t>
      </w:r>
      <w:r w:rsidRPr="00DF7E4A">
        <w:rPr>
          <w:spacing w:val="5"/>
        </w:rPr>
        <w:t>med stöd av Högskoleförordningen 6 kap 30 § och universitets lokala regelverk beslutar något annat.</w:t>
      </w:r>
      <w:r w:rsidR="00422536" w:rsidRPr="00DF7E4A">
        <w:rPr>
          <w:spacing w:val="5"/>
        </w:rPr>
        <w:t xml:space="preserve"> </w:t>
      </w:r>
      <w:r w:rsidR="00422536" w:rsidRPr="00DF7E4A">
        <w:t xml:space="preserve">Ytterligare detaljer rörande handledning och andra resurser </w:t>
      </w:r>
      <w:r w:rsidR="00872B8D" w:rsidRPr="00DF7E4A">
        <w:t>ska framgå</w:t>
      </w:r>
      <w:r w:rsidR="00422536" w:rsidRPr="00DF7E4A">
        <w:t xml:space="preserve"> i den individuella studieplanen.</w:t>
      </w:r>
    </w:p>
    <w:p w14:paraId="31D22A14" w14:textId="77777777" w:rsidR="00B305BE" w:rsidRPr="00DF7E4A" w:rsidRDefault="00B305BE" w:rsidP="003A3BCA">
      <w:pPr>
        <w:spacing w:line="240" w:lineRule="auto"/>
        <w:rPr>
          <w:sz w:val="24"/>
          <w:szCs w:val="24"/>
        </w:rPr>
      </w:pPr>
      <w:r w:rsidRPr="00DF7E4A">
        <w:rPr>
          <w:sz w:val="24"/>
          <w:szCs w:val="24"/>
        </w:rPr>
        <w:t>Studie- och yrkesorientering är ett integrerat moment i utbildningen på forskarnivå.</w:t>
      </w:r>
    </w:p>
    <w:p w14:paraId="66A50F6A" w14:textId="77777777" w:rsidR="00290C8D" w:rsidRPr="00DF7E4A" w:rsidRDefault="00B305BE" w:rsidP="003A3BCA">
      <w:pPr>
        <w:spacing w:line="240" w:lineRule="auto"/>
        <w:rPr>
          <w:sz w:val="24"/>
          <w:szCs w:val="24"/>
        </w:rPr>
      </w:pPr>
      <w:r w:rsidRPr="00DF7E4A">
        <w:rPr>
          <w:sz w:val="24"/>
          <w:szCs w:val="24"/>
        </w:rPr>
        <w:t xml:space="preserve">Information om utbildningens uppläggning och yrkesorientering ges även skriftligt, samt </w:t>
      </w:r>
      <w:r w:rsidR="000D5D7D" w:rsidRPr="00DF7E4A">
        <w:rPr>
          <w:sz w:val="24"/>
          <w:szCs w:val="24"/>
        </w:rPr>
        <w:t xml:space="preserve">muntligt </w:t>
      </w:r>
      <w:r w:rsidRPr="00DF7E4A">
        <w:rPr>
          <w:sz w:val="24"/>
          <w:szCs w:val="24"/>
        </w:rPr>
        <w:t>av studierektor för utbildningen på forskarnivå.</w:t>
      </w:r>
      <w:bookmarkStart w:id="72" w:name="_Toc441140846"/>
      <w:bookmarkStart w:id="73" w:name="_Toc441142508"/>
    </w:p>
    <w:p w14:paraId="654D40A7" w14:textId="1B611759" w:rsidR="003C731B" w:rsidRPr="00DF7E4A" w:rsidRDefault="00290C8D" w:rsidP="00290C8D">
      <w:pPr>
        <w:pStyle w:val="Heading3"/>
      </w:pPr>
      <w:r w:rsidRPr="00DF7E4A">
        <w:t>6.</w:t>
      </w:r>
      <w:r w:rsidR="00BC592C" w:rsidRPr="00DF7E4A">
        <w:t>3</w:t>
      </w:r>
      <w:r w:rsidR="00D84F5F" w:rsidRPr="00DF7E4A">
        <w:t xml:space="preserve">  </w:t>
      </w:r>
      <w:r w:rsidR="00431661" w:rsidRPr="00DF7E4A">
        <w:t>Kurser</w:t>
      </w:r>
      <w:r w:rsidR="00B305BE" w:rsidRPr="00DF7E4A">
        <w:t xml:space="preserve"> och </w:t>
      </w:r>
      <w:r w:rsidR="00431661" w:rsidRPr="00DF7E4A">
        <w:t>examination</w:t>
      </w:r>
      <w:bookmarkEnd w:id="72"/>
      <w:bookmarkEnd w:id="73"/>
    </w:p>
    <w:p w14:paraId="5FB63D21" w14:textId="77777777" w:rsidR="00B305BE" w:rsidRPr="00DF7E4A" w:rsidRDefault="00B305BE" w:rsidP="004140ED">
      <w:pPr>
        <w:spacing w:after="120" w:line="240" w:lineRule="auto"/>
        <w:rPr>
          <w:rFonts w:cstheme="minorHAnsi"/>
          <w:color w:val="000000"/>
          <w:sz w:val="24"/>
          <w:szCs w:val="24"/>
        </w:rPr>
      </w:pPr>
      <w:r w:rsidRPr="00DF7E4A">
        <w:rPr>
          <w:rFonts w:cstheme="minorHAnsi"/>
          <w:color w:val="000000"/>
          <w:sz w:val="24"/>
          <w:szCs w:val="24"/>
        </w:rPr>
        <w:t xml:space="preserve">Kursdelen i utbildningen på forskarnivå i </w:t>
      </w:r>
      <w:r w:rsidR="007F315E" w:rsidRPr="00DF7E4A">
        <w:rPr>
          <w:rFonts w:cstheme="minorHAnsi"/>
          <w:color w:val="000000"/>
          <w:sz w:val="24"/>
          <w:szCs w:val="24"/>
        </w:rPr>
        <w:t>internationella relationer</w:t>
      </w:r>
      <w:r w:rsidRPr="00DF7E4A">
        <w:rPr>
          <w:rFonts w:cstheme="minorHAnsi"/>
          <w:color w:val="000000"/>
          <w:sz w:val="24"/>
          <w:szCs w:val="24"/>
        </w:rPr>
        <w:t xml:space="preserve"> till doktorsexamen omfattar 75 högskolepoäng. </w:t>
      </w:r>
      <w:r w:rsidR="00D83A30" w:rsidRPr="00DF7E4A">
        <w:rPr>
          <w:rFonts w:cstheme="minorHAnsi"/>
          <w:color w:val="000000"/>
          <w:sz w:val="24"/>
          <w:szCs w:val="24"/>
        </w:rPr>
        <w:t>Examinationsformer för respektive kurs ska framgå i individuell studieplan.</w:t>
      </w:r>
    </w:p>
    <w:p w14:paraId="6D53FB7E" w14:textId="77777777" w:rsidR="007F315E" w:rsidRPr="00DF7E4A" w:rsidRDefault="00D83A30" w:rsidP="007F315E">
      <w:pPr>
        <w:tabs>
          <w:tab w:val="center" w:pos="2609"/>
        </w:tabs>
        <w:ind w:left="-15"/>
        <w:rPr>
          <w:sz w:val="24"/>
          <w:szCs w:val="24"/>
        </w:rPr>
      </w:pPr>
      <w:r w:rsidRPr="00DF7E4A">
        <w:rPr>
          <w:sz w:val="24"/>
          <w:szCs w:val="24"/>
        </w:rPr>
        <w:t>Obligatoriska kurser (samtliga ges på forskarnivå)</w:t>
      </w:r>
      <w:r w:rsidR="00E20DE3" w:rsidRPr="00DF7E4A">
        <w:rPr>
          <w:sz w:val="24"/>
          <w:szCs w:val="24"/>
        </w:rPr>
        <w:t>:</w:t>
      </w:r>
      <w:r w:rsidR="007F315E" w:rsidRPr="00DF7E4A">
        <w:rPr>
          <w:sz w:val="24"/>
          <w:szCs w:val="24"/>
        </w:rPr>
        <w:tab/>
        <w:t xml:space="preserve"> </w:t>
      </w:r>
    </w:p>
    <w:p w14:paraId="49E40F2D" w14:textId="77777777" w:rsidR="007A4A27" w:rsidRPr="00DF7E4A" w:rsidRDefault="007A4A27" w:rsidP="007A4A27">
      <w:pPr>
        <w:numPr>
          <w:ilvl w:val="0"/>
          <w:numId w:val="7"/>
        </w:numPr>
        <w:spacing w:after="71" w:line="248" w:lineRule="auto"/>
        <w:ind w:hanging="360"/>
        <w:rPr>
          <w:sz w:val="24"/>
          <w:szCs w:val="24"/>
        </w:rPr>
      </w:pPr>
      <w:r w:rsidRPr="00DF7E4A">
        <w:rPr>
          <w:sz w:val="24"/>
          <w:szCs w:val="24"/>
        </w:rPr>
        <w:t xml:space="preserve">Introduktionskurs i internationella studier, 7,5 </w:t>
      </w:r>
      <w:proofErr w:type="spellStart"/>
      <w:r w:rsidRPr="00DF7E4A">
        <w:rPr>
          <w:sz w:val="24"/>
          <w:szCs w:val="24"/>
        </w:rPr>
        <w:t>hp</w:t>
      </w:r>
      <w:proofErr w:type="spellEnd"/>
      <w:r w:rsidRPr="00DF7E4A">
        <w:rPr>
          <w:sz w:val="24"/>
          <w:szCs w:val="24"/>
        </w:rPr>
        <w:t xml:space="preserve"> </w:t>
      </w:r>
    </w:p>
    <w:p w14:paraId="4D271BAC" w14:textId="77777777" w:rsidR="007F315E" w:rsidRPr="00DF7E4A" w:rsidRDefault="007F315E" w:rsidP="00631037">
      <w:pPr>
        <w:numPr>
          <w:ilvl w:val="0"/>
          <w:numId w:val="7"/>
        </w:numPr>
        <w:spacing w:after="68" w:line="248" w:lineRule="auto"/>
        <w:ind w:hanging="360"/>
        <w:rPr>
          <w:sz w:val="24"/>
          <w:szCs w:val="24"/>
        </w:rPr>
      </w:pPr>
      <w:r w:rsidRPr="00DF7E4A">
        <w:rPr>
          <w:sz w:val="24"/>
          <w:szCs w:val="24"/>
        </w:rPr>
        <w:t xml:space="preserve">Teoribildning inom internationella relationer, 7,5 </w:t>
      </w:r>
      <w:proofErr w:type="spellStart"/>
      <w:r w:rsidRPr="00DF7E4A">
        <w:rPr>
          <w:sz w:val="24"/>
          <w:szCs w:val="24"/>
        </w:rPr>
        <w:t>hp</w:t>
      </w:r>
      <w:proofErr w:type="spellEnd"/>
      <w:r w:rsidRPr="00DF7E4A">
        <w:rPr>
          <w:sz w:val="24"/>
          <w:szCs w:val="24"/>
        </w:rPr>
        <w:t xml:space="preserve"> </w:t>
      </w:r>
    </w:p>
    <w:p w14:paraId="705D65A8" w14:textId="77777777" w:rsidR="007F315E" w:rsidRPr="00DF7E4A" w:rsidRDefault="007F315E" w:rsidP="00631037">
      <w:pPr>
        <w:numPr>
          <w:ilvl w:val="0"/>
          <w:numId w:val="7"/>
        </w:numPr>
        <w:spacing w:after="71" w:line="248" w:lineRule="auto"/>
        <w:ind w:hanging="360"/>
        <w:rPr>
          <w:sz w:val="24"/>
          <w:szCs w:val="24"/>
        </w:rPr>
      </w:pPr>
      <w:r w:rsidRPr="00DF7E4A">
        <w:rPr>
          <w:sz w:val="24"/>
          <w:szCs w:val="24"/>
        </w:rPr>
        <w:t>Global</w:t>
      </w:r>
      <w:r w:rsidR="007A4A27" w:rsidRPr="00DF7E4A">
        <w:rPr>
          <w:sz w:val="24"/>
          <w:szCs w:val="24"/>
        </w:rPr>
        <w:t>a</w:t>
      </w:r>
      <w:r w:rsidRPr="00DF7E4A">
        <w:rPr>
          <w:sz w:val="24"/>
          <w:szCs w:val="24"/>
        </w:rPr>
        <w:t xml:space="preserve"> politisk ekonomi, 7,5 </w:t>
      </w:r>
      <w:proofErr w:type="spellStart"/>
      <w:r w:rsidRPr="00DF7E4A">
        <w:rPr>
          <w:sz w:val="24"/>
          <w:szCs w:val="24"/>
        </w:rPr>
        <w:t>hp</w:t>
      </w:r>
      <w:proofErr w:type="spellEnd"/>
      <w:r w:rsidRPr="00DF7E4A">
        <w:rPr>
          <w:sz w:val="24"/>
          <w:szCs w:val="24"/>
        </w:rPr>
        <w:t xml:space="preserve">  </w:t>
      </w:r>
    </w:p>
    <w:p w14:paraId="4A11C582" w14:textId="77777777" w:rsidR="007A4A27" w:rsidRPr="00DF7E4A" w:rsidRDefault="007A4A27" w:rsidP="007A4A27">
      <w:pPr>
        <w:numPr>
          <w:ilvl w:val="0"/>
          <w:numId w:val="7"/>
        </w:numPr>
        <w:spacing w:after="71" w:line="248" w:lineRule="auto"/>
        <w:ind w:hanging="360"/>
        <w:rPr>
          <w:sz w:val="24"/>
          <w:szCs w:val="24"/>
        </w:rPr>
      </w:pPr>
      <w:r w:rsidRPr="00DF7E4A">
        <w:rPr>
          <w:sz w:val="24"/>
          <w:szCs w:val="24"/>
        </w:rPr>
        <w:t xml:space="preserve">Kvalitativ metod 7,5 </w:t>
      </w:r>
      <w:proofErr w:type="spellStart"/>
      <w:r w:rsidRPr="00DF7E4A">
        <w:rPr>
          <w:sz w:val="24"/>
          <w:szCs w:val="24"/>
        </w:rPr>
        <w:t>hp</w:t>
      </w:r>
      <w:proofErr w:type="spellEnd"/>
      <w:r w:rsidRPr="00DF7E4A">
        <w:rPr>
          <w:sz w:val="24"/>
          <w:szCs w:val="24"/>
        </w:rPr>
        <w:t xml:space="preserve"> </w:t>
      </w:r>
    </w:p>
    <w:p w14:paraId="26D2E039" w14:textId="77777777" w:rsidR="007F315E" w:rsidRPr="00DF7E4A" w:rsidRDefault="007F315E" w:rsidP="00631037">
      <w:pPr>
        <w:numPr>
          <w:ilvl w:val="0"/>
          <w:numId w:val="7"/>
        </w:numPr>
        <w:spacing w:after="68" w:line="248" w:lineRule="auto"/>
        <w:ind w:hanging="360"/>
        <w:rPr>
          <w:sz w:val="24"/>
          <w:szCs w:val="24"/>
        </w:rPr>
      </w:pPr>
      <w:r w:rsidRPr="00DF7E4A">
        <w:rPr>
          <w:sz w:val="24"/>
          <w:szCs w:val="24"/>
        </w:rPr>
        <w:t xml:space="preserve">Kvantitativ metod, 7,5 </w:t>
      </w:r>
      <w:proofErr w:type="spellStart"/>
      <w:r w:rsidRPr="00DF7E4A">
        <w:rPr>
          <w:sz w:val="24"/>
          <w:szCs w:val="24"/>
        </w:rPr>
        <w:t>hp</w:t>
      </w:r>
      <w:proofErr w:type="spellEnd"/>
      <w:r w:rsidRPr="00DF7E4A">
        <w:rPr>
          <w:sz w:val="24"/>
          <w:szCs w:val="24"/>
        </w:rPr>
        <w:t xml:space="preserve"> </w:t>
      </w:r>
    </w:p>
    <w:p w14:paraId="02F0B5F0" w14:textId="77777777" w:rsidR="00B305BE" w:rsidRPr="00DF7E4A" w:rsidRDefault="00B305BE" w:rsidP="004140ED">
      <w:pPr>
        <w:spacing w:after="120" w:line="240" w:lineRule="auto"/>
        <w:rPr>
          <w:rFonts w:cstheme="minorHAnsi"/>
          <w:color w:val="000000"/>
          <w:sz w:val="24"/>
          <w:szCs w:val="24"/>
        </w:rPr>
      </w:pPr>
      <w:r w:rsidRPr="00DF7E4A">
        <w:rPr>
          <w:rFonts w:cstheme="minorHAnsi"/>
          <w:color w:val="000000"/>
          <w:sz w:val="24"/>
          <w:szCs w:val="24"/>
        </w:rPr>
        <w:t>Valfria kurser:</w:t>
      </w:r>
    </w:p>
    <w:p w14:paraId="678079BF" w14:textId="77777777" w:rsidR="00B305BE" w:rsidRPr="00DF7E4A" w:rsidRDefault="00B305BE" w:rsidP="004140ED">
      <w:pPr>
        <w:spacing w:after="120" w:line="240" w:lineRule="auto"/>
        <w:rPr>
          <w:rFonts w:cstheme="minorHAnsi"/>
          <w:color w:val="000000"/>
          <w:sz w:val="24"/>
          <w:szCs w:val="24"/>
        </w:rPr>
      </w:pPr>
      <w:r w:rsidRPr="00DF7E4A">
        <w:rPr>
          <w:rFonts w:cstheme="minorHAnsi"/>
          <w:color w:val="000000"/>
          <w:sz w:val="24"/>
          <w:szCs w:val="24"/>
        </w:rPr>
        <w:t xml:space="preserve">Kurser vid den egna institutionen eller annan institution, vilka godkänts av handledare och institutionens studierektor för utbildning på forskarnivå, 37,5 högskolepoäng. </w:t>
      </w:r>
    </w:p>
    <w:p w14:paraId="46CB921E" w14:textId="77777777" w:rsidR="00B305BE" w:rsidRPr="00DF7E4A" w:rsidRDefault="00B305BE" w:rsidP="004140ED">
      <w:pPr>
        <w:spacing w:after="120" w:line="240" w:lineRule="auto"/>
        <w:rPr>
          <w:rFonts w:cstheme="minorHAnsi"/>
          <w:color w:val="000000"/>
          <w:sz w:val="24"/>
          <w:szCs w:val="24"/>
        </w:rPr>
      </w:pPr>
      <w:r w:rsidRPr="00DF7E4A">
        <w:rPr>
          <w:rFonts w:cstheme="minorHAnsi"/>
          <w:color w:val="000000"/>
          <w:sz w:val="24"/>
          <w:szCs w:val="24"/>
        </w:rPr>
        <w:t xml:space="preserve">Utbildning på forskarnivå i </w:t>
      </w:r>
      <w:r w:rsidR="007F315E" w:rsidRPr="00DF7E4A">
        <w:rPr>
          <w:rFonts w:cstheme="minorHAnsi"/>
          <w:color w:val="000000"/>
          <w:sz w:val="24"/>
          <w:szCs w:val="24"/>
        </w:rPr>
        <w:t>internationella relationer</w:t>
      </w:r>
      <w:r w:rsidRPr="00DF7E4A">
        <w:rPr>
          <w:rFonts w:cstheme="minorHAnsi"/>
          <w:color w:val="000000"/>
          <w:sz w:val="24"/>
          <w:szCs w:val="24"/>
        </w:rPr>
        <w:t xml:space="preserve"> som avslutas med licentiatexamen innefattar kurser om 60 högskolepoäng, vilka fördelas så att 30 högskolepoäng utgörs av obligatoriska kurser (kursen a ovan samt tre av kurserna b-e ovan) och 30 högskolepoäng av valfria kurser.</w:t>
      </w:r>
    </w:p>
    <w:p w14:paraId="54678456" w14:textId="77FE0269" w:rsidR="00B305BE" w:rsidRPr="00DF7E4A" w:rsidRDefault="00B305BE" w:rsidP="00777C29">
      <w:pPr>
        <w:pStyle w:val="CommentText"/>
      </w:pPr>
      <w:r w:rsidRPr="00DF7E4A">
        <w:rPr>
          <w:rFonts w:cstheme="minorHAnsi"/>
          <w:color w:val="000000"/>
        </w:rPr>
        <w:lastRenderedPageBreak/>
        <w:t xml:space="preserve">Doktorand får efter medgivande från handledare och studierektor för utbildning på forskarnivå byta obligatorisk kurs mot kurser hämtade </w:t>
      </w:r>
      <w:r w:rsidR="00380526" w:rsidRPr="00DF7E4A">
        <w:t>från utbildning i internationella relationer på annan ort</w:t>
      </w:r>
      <w:r w:rsidRPr="00DF7E4A">
        <w:rPr>
          <w:rFonts w:cstheme="minorHAnsi"/>
          <w:color w:val="000000"/>
        </w:rPr>
        <w:t xml:space="preserve"> eller mot kurs från något annat ämnesområde, även t.ex. högskolepedagogik.</w:t>
      </w:r>
      <w:r w:rsidR="00422536" w:rsidRPr="00DF7E4A">
        <w:rPr>
          <w:rFonts w:cstheme="minorHAnsi"/>
          <w:color w:val="000000"/>
        </w:rPr>
        <w:t xml:space="preserve"> </w:t>
      </w:r>
      <w:r w:rsidR="00422536" w:rsidRPr="00DF7E4A">
        <w:t>Doktorander som undervisar erbjuds att genomgå högskolepedagogisk utbildning. Den genomgångna högskolepedagogisk utbildningen kan anti</w:t>
      </w:r>
      <w:r w:rsidR="004D04B7" w:rsidRPr="00DF7E4A">
        <w:t>n</w:t>
      </w:r>
      <w:r w:rsidR="00422536" w:rsidRPr="00DF7E4A">
        <w:t xml:space="preserve">gen inkluderas som en valbar kurs eller läsas inom ramen </w:t>
      </w:r>
      <w:r w:rsidR="00F91EAF" w:rsidRPr="00DF7E4A">
        <w:t>för e</w:t>
      </w:r>
      <w:r w:rsidR="00422536" w:rsidRPr="00DF7E4A">
        <w:t>n del av institutionstjänstgöringen.</w:t>
      </w:r>
    </w:p>
    <w:p w14:paraId="224CC04B" w14:textId="77777777" w:rsidR="00B305BE" w:rsidRPr="00DF7E4A" w:rsidRDefault="00B305BE" w:rsidP="004140ED">
      <w:pPr>
        <w:tabs>
          <w:tab w:val="left" w:pos="540"/>
        </w:tabs>
        <w:spacing w:after="120" w:line="240" w:lineRule="auto"/>
        <w:rPr>
          <w:rFonts w:cstheme="minorHAnsi"/>
          <w:color w:val="000000"/>
          <w:sz w:val="24"/>
          <w:szCs w:val="24"/>
        </w:rPr>
      </w:pPr>
      <w:r w:rsidRPr="00DF7E4A">
        <w:rPr>
          <w:rFonts w:cstheme="minorHAnsi"/>
          <w:color w:val="000000"/>
          <w:sz w:val="24"/>
          <w:szCs w:val="24"/>
        </w:rPr>
        <w:t xml:space="preserve">Varje kurs inom utbildningen på forskarnivå examineras genom skriftligt eller muntligt prov. Proven bedöms med något av betygen godkänd eller underkänd. Betygen ska bestämmas av en av </w:t>
      </w:r>
      <w:r w:rsidR="001B0F0B" w:rsidRPr="00DF7E4A">
        <w:rPr>
          <w:rFonts w:cstheme="minorHAnsi"/>
          <w:color w:val="000000"/>
          <w:sz w:val="24"/>
          <w:szCs w:val="24"/>
        </w:rPr>
        <w:t>prefekten</w:t>
      </w:r>
      <w:r w:rsidR="00D83A30" w:rsidRPr="00DF7E4A">
        <w:rPr>
          <w:rFonts w:cstheme="minorHAnsi"/>
          <w:color w:val="000000"/>
          <w:sz w:val="24"/>
          <w:szCs w:val="24"/>
        </w:rPr>
        <w:t xml:space="preserve"> </w:t>
      </w:r>
      <w:r w:rsidRPr="00DF7E4A">
        <w:rPr>
          <w:rFonts w:cstheme="minorHAnsi"/>
          <w:color w:val="000000"/>
          <w:sz w:val="24"/>
          <w:szCs w:val="24"/>
        </w:rPr>
        <w:t>utsedd lärare (examinator)</w:t>
      </w:r>
      <w:r w:rsidR="00BC592C" w:rsidRPr="00DF7E4A">
        <w:rPr>
          <w:rFonts w:cstheme="minorHAnsi"/>
          <w:color w:val="000000"/>
          <w:sz w:val="24"/>
          <w:szCs w:val="24"/>
        </w:rPr>
        <w:t>.</w:t>
      </w:r>
      <w:r w:rsidRPr="00DF7E4A">
        <w:rPr>
          <w:rFonts w:cstheme="minorHAnsi"/>
          <w:color w:val="000000"/>
          <w:sz w:val="24"/>
          <w:szCs w:val="24"/>
        </w:rPr>
        <w:t xml:space="preserve"> Examinator ska lägst ha docentkompetens.</w:t>
      </w:r>
    </w:p>
    <w:p w14:paraId="79D7B22B" w14:textId="2B9656FC" w:rsidR="00431661" w:rsidRPr="00DF7E4A" w:rsidRDefault="00431661" w:rsidP="00D7239A">
      <w:pPr>
        <w:pStyle w:val="Heading4"/>
        <w:rPr>
          <w:i w:val="0"/>
        </w:rPr>
      </w:pPr>
      <w:bookmarkStart w:id="74" w:name="_Toc441140847"/>
      <w:bookmarkStart w:id="75" w:name="_Hlk482954835"/>
      <w:bookmarkStart w:id="76" w:name="_Hlk5266904"/>
      <w:r w:rsidRPr="00DF7E4A">
        <w:rPr>
          <w:i w:val="0"/>
        </w:rPr>
        <w:t>6</w:t>
      </w:r>
      <w:r w:rsidR="00945AF0" w:rsidRPr="00DF7E4A">
        <w:rPr>
          <w:i w:val="0"/>
        </w:rPr>
        <w:t>.</w:t>
      </w:r>
      <w:r w:rsidR="00BC592C" w:rsidRPr="00DF7E4A">
        <w:rPr>
          <w:i w:val="0"/>
        </w:rPr>
        <w:t>3</w:t>
      </w:r>
      <w:r w:rsidRPr="00DF7E4A">
        <w:rPr>
          <w:i w:val="0"/>
        </w:rPr>
        <w:t>.1 Tillgodoräknande</w:t>
      </w:r>
      <w:bookmarkEnd w:id="74"/>
    </w:p>
    <w:bookmarkEnd w:id="75"/>
    <w:p w14:paraId="62DB1BBF" w14:textId="66AF6629" w:rsidR="00290C8D" w:rsidRPr="00DF7E4A" w:rsidRDefault="00945AF0" w:rsidP="00290C8D">
      <w:pPr>
        <w:tabs>
          <w:tab w:val="left" w:pos="540"/>
        </w:tabs>
        <w:spacing w:after="120" w:line="240" w:lineRule="auto"/>
        <w:rPr>
          <w:rFonts w:cstheme="minorHAnsi"/>
          <w:color w:val="000000"/>
          <w:sz w:val="24"/>
          <w:szCs w:val="24"/>
        </w:rPr>
      </w:pPr>
      <w:r w:rsidRPr="00DF7E4A">
        <w:rPr>
          <w:rFonts w:cstheme="minorHAnsi"/>
          <w:color w:val="000000"/>
          <w:sz w:val="24"/>
          <w:szCs w:val="24"/>
        </w:rPr>
        <w:t xml:space="preserve">Doktorand som vid annan högskoleenhet, har godkänts på kurs som ingår i utbildning på forskarnivå, har </w:t>
      </w:r>
      <w:r w:rsidR="00D63966" w:rsidRPr="00DF7E4A">
        <w:rPr>
          <w:rFonts w:cstheme="minorHAnsi"/>
          <w:color w:val="000000"/>
          <w:sz w:val="24"/>
          <w:szCs w:val="24"/>
        </w:rPr>
        <w:t xml:space="preserve">möjlighet </w:t>
      </w:r>
      <w:r w:rsidRPr="00DF7E4A">
        <w:rPr>
          <w:rFonts w:cstheme="minorHAnsi"/>
          <w:color w:val="000000"/>
          <w:sz w:val="24"/>
          <w:szCs w:val="24"/>
        </w:rPr>
        <w:t xml:space="preserve">att tillgodoräkna sig denna efter överenskommelse med handledare </w:t>
      </w:r>
      <w:r w:rsidR="00B4471D" w:rsidRPr="00DF7E4A">
        <w:rPr>
          <w:rFonts w:cstheme="minorHAnsi"/>
          <w:color w:val="000000"/>
          <w:sz w:val="24"/>
          <w:szCs w:val="24"/>
        </w:rPr>
        <w:t xml:space="preserve">och </w:t>
      </w:r>
      <w:r w:rsidR="00D83A30" w:rsidRPr="00DF7E4A">
        <w:rPr>
          <w:rFonts w:cstheme="minorHAnsi"/>
          <w:color w:val="000000"/>
          <w:sz w:val="24"/>
          <w:szCs w:val="24"/>
        </w:rPr>
        <w:t>institutionsstyrelse</w:t>
      </w:r>
      <w:r w:rsidR="00B4471D" w:rsidRPr="00DF7E4A">
        <w:rPr>
          <w:rFonts w:cstheme="minorHAnsi"/>
          <w:color w:val="000000"/>
          <w:sz w:val="24"/>
          <w:szCs w:val="24"/>
        </w:rPr>
        <w:t xml:space="preserve">n. </w:t>
      </w:r>
      <w:bookmarkEnd w:id="76"/>
      <w:r w:rsidR="00B4471D" w:rsidRPr="00DF7E4A">
        <w:rPr>
          <w:rFonts w:cstheme="minorHAnsi"/>
          <w:color w:val="000000"/>
          <w:sz w:val="24"/>
          <w:szCs w:val="24"/>
        </w:rPr>
        <w:t xml:space="preserve">Institutionsstyrelsen kan delegera godkännanderätten till handledare och </w:t>
      </w:r>
      <w:r w:rsidRPr="00DF7E4A">
        <w:rPr>
          <w:rFonts w:cstheme="minorHAnsi"/>
          <w:color w:val="000000"/>
          <w:sz w:val="24"/>
          <w:szCs w:val="24"/>
        </w:rPr>
        <w:t xml:space="preserve">studierektor för utbildning på forskarnivå. Detsamma gäller kurser på forskarnivå som ges av samhällsvetenskaplig fakultet eller andra fakulteter vid Stockholms universitet. Kurser på avancerad nivå kan även tillgodoräknas, men endast om de inte är behörighetsgrundande. </w:t>
      </w:r>
      <w:bookmarkStart w:id="77" w:name="_Toc441140849"/>
      <w:bookmarkStart w:id="78" w:name="_Toc441142509"/>
      <w:r w:rsidR="00BC592C" w:rsidRPr="00DF7E4A">
        <w:rPr>
          <w:rFonts w:cstheme="minorHAnsi"/>
          <w:color w:val="000000"/>
          <w:sz w:val="24"/>
          <w:szCs w:val="24"/>
        </w:rPr>
        <w:t>Studerande anhåller om tillgodoräknande på särskild blankett.</w:t>
      </w:r>
      <w:r w:rsidR="0066174D" w:rsidRPr="00DF7E4A">
        <w:t xml:space="preserve"> </w:t>
      </w:r>
      <w:r w:rsidR="0066174D" w:rsidRPr="00DF7E4A">
        <w:rPr>
          <w:rFonts w:cstheme="minorHAnsi"/>
          <w:color w:val="000000"/>
          <w:sz w:val="24"/>
          <w:szCs w:val="24"/>
        </w:rPr>
        <w:t>Den finansierade tiden av utbildningen förkortas i motsvarande omfattning enligt principen en vecka per 1,5 tillgodoräknade högskolepoäng.</w:t>
      </w:r>
    </w:p>
    <w:p w14:paraId="0AC45F9B" w14:textId="77777777" w:rsidR="00B4471D" w:rsidRPr="00DF7E4A" w:rsidRDefault="0066174D" w:rsidP="0066174D">
      <w:pPr>
        <w:pStyle w:val="Heading4"/>
        <w:rPr>
          <w:i w:val="0"/>
        </w:rPr>
      </w:pPr>
      <w:r w:rsidRPr="00DF7E4A">
        <w:rPr>
          <w:i w:val="0"/>
        </w:rPr>
        <w:t>6.3.2</w:t>
      </w:r>
      <w:r w:rsidR="00B4471D" w:rsidRPr="00DF7E4A">
        <w:rPr>
          <w:i w:val="0"/>
        </w:rPr>
        <w:t xml:space="preserve"> Övriga obligatoriska moment</w:t>
      </w:r>
    </w:p>
    <w:p w14:paraId="2A948265" w14:textId="77777777" w:rsidR="00B4471D" w:rsidRPr="001B0F0B" w:rsidRDefault="00B4471D" w:rsidP="00B4471D">
      <w:pPr>
        <w:rPr>
          <w:rFonts w:cstheme="minorHAnsi"/>
          <w:color w:val="000000"/>
          <w:sz w:val="24"/>
          <w:szCs w:val="24"/>
        </w:rPr>
      </w:pPr>
      <w:r w:rsidRPr="00DF7E4A">
        <w:rPr>
          <w:rFonts w:cstheme="minorHAnsi"/>
          <w:color w:val="000000"/>
          <w:sz w:val="24"/>
          <w:szCs w:val="24"/>
        </w:rPr>
        <w:t>Doktorand förutsätts delta i universitetets introduktionsdag för doktorander.</w:t>
      </w:r>
    </w:p>
    <w:p w14:paraId="1E5B224D" w14:textId="77777777" w:rsidR="00B4471D" w:rsidRPr="001B0F0B" w:rsidRDefault="00B4471D" w:rsidP="00B4471D">
      <w:pPr>
        <w:rPr>
          <w:rFonts w:cstheme="minorHAnsi"/>
          <w:color w:val="000000"/>
          <w:sz w:val="24"/>
          <w:szCs w:val="24"/>
        </w:rPr>
      </w:pPr>
      <w:r w:rsidRPr="001B0F0B">
        <w:rPr>
          <w:rFonts w:cstheme="minorHAnsi"/>
          <w:color w:val="000000"/>
          <w:sz w:val="24"/>
          <w:szCs w:val="24"/>
        </w:rPr>
        <w:t>Doktorand förutsätts regelbundet och aktivt delta i institutionens högre seminarium. Med aktivt deltagande avses att doktoranden deltar i diskussioner och lägger fram egna avhandlingsavsnitt samt fullgör anvisade uppgifter.</w:t>
      </w:r>
    </w:p>
    <w:p w14:paraId="293FB3FF" w14:textId="77777777" w:rsidR="00B4471D" w:rsidRPr="001B0F0B" w:rsidRDefault="00B4471D" w:rsidP="00B4471D">
      <w:pPr>
        <w:tabs>
          <w:tab w:val="left" w:pos="540"/>
        </w:tabs>
        <w:spacing w:after="120" w:line="240" w:lineRule="auto"/>
        <w:rPr>
          <w:rFonts w:cstheme="minorHAnsi"/>
          <w:color w:val="000000"/>
          <w:sz w:val="24"/>
          <w:szCs w:val="24"/>
        </w:rPr>
      </w:pPr>
      <w:r w:rsidRPr="001B0F0B">
        <w:rPr>
          <w:rFonts w:cstheme="minorHAnsi"/>
          <w:color w:val="000000"/>
          <w:sz w:val="24"/>
          <w:szCs w:val="24"/>
        </w:rPr>
        <w:t xml:space="preserve">Avhandlingsmanuskripten skall läggas fram vid ett eller flera forskningsseminarier och genomgå extern granskning genom institutionens försorg. </w:t>
      </w:r>
    </w:p>
    <w:p w14:paraId="0BE9172E" w14:textId="77777777" w:rsidR="003A3BCA" w:rsidRPr="001B0F0B" w:rsidRDefault="003A3BCA" w:rsidP="003A3BCA">
      <w:pPr>
        <w:pStyle w:val="ListParagraph"/>
        <w:spacing w:after="120" w:line="240" w:lineRule="auto"/>
        <w:ind w:left="0"/>
        <w:rPr>
          <w:rFonts w:cstheme="minorHAnsi"/>
          <w:color w:val="000000"/>
          <w:sz w:val="24"/>
          <w:szCs w:val="24"/>
        </w:rPr>
      </w:pPr>
      <w:r w:rsidRPr="001B0F0B">
        <w:rPr>
          <w:rFonts w:cstheme="minorHAnsi"/>
          <w:color w:val="000000"/>
          <w:sz w:val="24"/>
          <w:szCs w:val="24"/>
        </w:rPr>
        <w:t>Doktoranden förväntas även, om inte särskilda skäl föreligger, bidra till och delta i institutionens gemensamma verksamheter.</w:t>
      </w:r>
    </w:p>
    <w:p w14:paraId="082AF583" w14:textId="77777777" w:rsidR="003A3BCA" w:rsidRPr="001B0F0B" w:rsidRDefault="003A3BCA" w:rsidP="00B4471D">
      <w:pPr>
        <w:tabs>
          <w:tab w:val="left" w:pos="540"/>
        </w:tabs>
        <w:spacing w:after="120" w:line="240" w:lineRule="auto"/>
        <w:rPr>
          <w:rFonts w:cstheme="minorHAnsi"/>
          <w:color w:val="000000"/>
          <w:sz w:val="24"/>
          <w:szCs w:val="24"/>
        </w:rPr>
      </w:pPr>
    </w:p>
    <w:p w14:paraId="73196619" w14:textId="77777777" w:rsidR="00431661" w:rsidRPr="001B0F0B" w:rsidRDefault="00B4471D" w:rsidP="00290C8D">
      <w:pPr>
        <w:pStyle w:val="Heading3"/>
      </w:pPr>
      <w:r w:rsidRPr="001B0F0B">
        <w:lastRenderedPageBreak/>
        <w:t>6.</w:t>
      </w:r>
      <w:r w:rsidR="0066174D">
        <w:t>4</w:t>
      </w:r>
      <w:r w:rsidR="00945AF0" w:rsidRPr="001B0F0B">
        <w:t xml:space="preserve"> </w:t>
      </w:r>
      <w:r w:rsidR="00431661" w:rsidRPr="001B0F0B">
        <w:t>Doktorsavhandling och disputation</w:t>
      </w:r>
      <w:bookmarkEnd w:id="77"/>
      <w:bookmarkEnd w:id="78"/>
    </w:p>
    <w:p w14:paraId="306EC02C" w14:textId="77777777" w:rsidR="00945AF0" w:rsidRPr="00DF7E4A" w:rsidRDefault="0066174D" w:rsidP="004140ED">
      <w:pPr>
        <w:spacing w:after="120" w:line="240" w:lineRule="auto"/>
        <w:rPr>
          <w:rFonts w:cstheme="minorHAnsi"/>
          <w:color w:val="000000"/>
          <w:sz w:val="24"/>
          <w:szCs w:val="24"/>
        </w:rPr>
      </w:pPr>
      <w:r w:rsidRPr="00DF7E4A">
        <w:rPr>
          <w:rFonts w:cstheme="minorHAnsi"/>
          <w:color w:val="000000"/>
          <w:sz w:val="24"/>
          <w:szCs w:val="24"/>
        </w:rPr>
        <w:t xml:space="preserve">För doktorsexamen behövs en godkänd avhandling som utgörs av ett självständigt arbete inom området internationella relationer, som motsvarar 165 högskolepoäng. </w:t>
      </w:r>
      <w:r w:rsidR="00945AF0" w:rsidRPr="00DF7E4A">
        <w:rPr>
          <w:rFonts w:cstheme="minorHAnsi"/>
          <w:color w:val="000000"/>
          <w:sz w:val="24"/>
          <w:szCs w:val="24"/>
        </w:rPr>
        <w:t>Avhandlingen skall dokumentera doktorandens förmåga till vetenskaplig metodik och redovisning samt skicklighet att självständigt behandla ett begränsat vetenskapligt problem. Ordet ”självständigt” skall i detta sammanhang icke förstås så att handledning och möjlighet till lagarbete försvåras.</w:t>
      </w:r>
    </w:p>
    <w:p w14:paraId="23CF31D3" w14:textId="77777777" w:rsidR="00945AF0" w:rsidRPr="00DF7E4A" w:rsidRDefault="00945AF0" w:rsidP="004140ED">
      <w:pPr>
        <w:spacing w:after="120" w:line="240" w:lineRule="auto"/>
        <w:rPr>
          <w:rFonts w:cstheme="minorHAnsi"/>
          <w:color w:val="000000"/>
          <w:sz w:val="24"/>
          <w:szCs w:val="24"/>
        </w:rPr>
      </w:pPr>
      <w:r w:rsidRPr="00DF7E4A">
        <w:rPr>
          <w:rFonts w:cstheme="minorHAnsi"/>
          <w:color w:val="000000"/>
          <w:sz w:val="24"/>
          <w:szCs w:val="24"/>
        </w:rPr>
        <w:t>Doktorsavhandlingen skall utformas antingen som ett enhetligt, sammanhängande vetenskapligt verk (monografiavhandling) eller som en sammanfattning av ett antal vetenskapliga uppsatser som doktoranden författat (sammanläggningsavhandling).</w:t>
      </w:r>
    </w:p>
    <w:p w14:paraId="5EB73D53" w14:textId="77777777" w:rsidR="00945AF0" w:rsidRPr="00DF7E4A" w:rsidRDefault="00945AF0" w:rsidP="004140ED">
      <w:pPr>
        <w:tabs>
          <w:tab w:val="left" w:pos="540"/>
        </w:tabs>
        <w:spacing w:after="120" w:line="240" w:lineRule="auto"/>
        <w:rPr>
          <w:rFonts w:cstheme="minorHAnsi"/>
          <w:color w:val="000000"/>
          <w:sz w:val="24"/>
          <w:szCs w:val="24"/>
        </w:rPr>
      </w:pPr>
      <w:r w:rsidRPr="00DF7E4A">
        <w:rPr>
          <w:rFonts w:cstheme="minorHAnsi"/>
          <w:color w:val="000000"/>
          <w:sz w:val="24"/>
          <w:szCs w:val="24"/>
        </w:rPr>
        <w:t>Monografiavhandlingen, eller i förekommande fall de vetenskapliga uppsatserna, skall ha sådan kvalitet att den/de uppfyller rimligt ställda krav för att antas till publicering i ett vetenskapligt forum med extern granskning.</w:t>
      </w:r>
    </w:p>
    <w:p w14:paraId="36B8728B" w14:textId="77777777" w:rsidR="00945AF0" w:rsidRPr="00DF7E4A" w:rsidRDefault="00945AF0" w:rsidP="004140ED">
      <w:pPr>
        <w:tabs>
          <w:tab w:val="left" w:pos="540"/>
        </w:tabs>
        <w:spacing w:after="120" w:line="240" w:lineRule="auto"/>
        <w:rPr>
          <w:rFonts w:cstheme="minorHAnsi"/>
          <w:color w:val="000000"/>
          <w:sz w:val="24"/>
          <w:szCs w:val="24"/>
        </w:rPr>
      </w:pPr>
      <w:r w:rsidRPr="00DF7E4A">
        <w:rPr>
          <w:rFonts w:cstheme="minorHAnsi"/>
          <w:color w:val="000000"/>
          <w:sz w:val="24"/>
          <w:szCs w:val="24"/>
        </w:rPr>
        <w:t xml:space="preserve">Avhandlingar och uppsatser inom sammanläggningsavhandlingar som författas av flera personer kan tillgodoräknas i licentiat- eller doktorsexamen enbart om det går att särskilja författarnas insatser. </w:t>
      </w:r>
      <w:r w:rsidR="00B4471D" w:rsidRPr="00DF7E4A">
        <w:rPr>
          <w:rFonts w:cstheme="minorHAnsi"/>
          <w:color w:val="000000"/>
          <w:sz w:val="24"/>
          <w:szCs w:val="24"/>
        </w:rPr>
        <w:t>Sammanfattningen (”kappan”) i en sammanläggningsavhandling kan inte vara samförfattad.</w:t>
      </w:r>
    </w:p>
    <w:p w14:paraId="5D0F0CB8" w14:textId="0FC3316A" w:rsidR="00945AF0" w:rsidRPr="00DF7E4A" w:rsidRDefault="00945AF0" w:rsidP="004140ED">
      <w:pPr>
        <w:tabs>
          <w:tab w:val="left" w:pos="540"/>
        </w:tabs>
        <w:spacing w:after="120" w:line="240" w:lineRule="auto"/>
        <w:rPr>
          <w:rFonts w:cstheme="minorHAnsi"/>
          <w:color w:val="000000"/>
          <w:sz w:val="24"/>
          <w:szCs w:val="24"/>
        </w:rPr>
      </w:pPr>
      <w:r w:rsidRPr="00DF7E4A">
        <w:rPr>
          <w:rFonts w:cstheme="minorHAnsi"/>
          <w:color w:val="000000"/>
          <w:sz w:val="24"/>
          <w:szCs w:val="24"/>
        </w:rPr>
        <w:t>Ämnet för avhandlingen och</w:t>
      </w:r>
      <w:r w:rsidR="00A66B5A" w:rsidRPr="00DF7E4A">
        <w:rPr>
          <w:rFonts w:cstheme="minorHAnsi"/>
          <w:color w:val="000000"/>
          <w:sz w:val="24"/>
          <w:szCs w:val="24"/>
        </w:rPr>
        <w:t xml:space="preserve"> om</w:t>
      </w:r>
      <w:r w:rsidRPr="00DF7E4A">
        <w:rPr>
          <w:rFonts w:cstheme="minorHAnsi"/>
          <w:color w:val="000000"/>
          <w:sz w:val="24"/>
          <w:szCs w:val="24"/>
        </w:rPr>
        <w:t xml:space="preserve"> avhandlingen</w:t>
      </w:r>
      <w:r w:rsidR="00A66B5A" w:rsidRPr="00DF7E4A">
        <w:rPr>
          <w:rFonts w:cstheme="minorHAnsi"/>
          <w:color w:val="000000"/>
          <w:sz w:val="24"/>
          <w:szCs w:val="24"/>
        </w:rPr>
        <w:t xml:space="preserve"> ska skrivas på svenska eller engelska </w:t>
      </w:r>
      <w:r w:rsidRPr="00DF7E4A">
        <w:rPr>
          <w:rFonts w:cstheme="minorHAnsi"/>
          <w:color w:val="000000"/>
          <w:sz w:val="24"/>
          <w:szCs w:val="24"/>
        </w:rPr>
        <w:t xml:space="preserve">bestäms av doktoranden tillsammans med handledarna. Till varje avhandling skall fogas ett kortfattat referat (abstract). Skrivs avhandlingen på svenska, ska den ha sammanfattning på engelska, skrivs den på engelska ska den ha sammanfattning på svenska. Skrivs den på annat språk ska den ha sammanfattning både på engelska och svenska. </w:t>
      </w:r>
    </w:p>
    <w:p w14:paraId="2567E0F6" w14:textId="77777777" w:rsidR="00945AF0" w:rsidRPr="00DF7E4A" w:rsidRDefault="00945AF0" w:rsidP="004140ED">
      <w:pPr>
        <w:tabs>
          <w:tab w:val="left" w:pos="540"/>
        </w:tabs>
        <w:spacing w:after="120" w:line="240" w:lineRule="auto"/>
        <w:rPr>
          <w:rFonts w:cstheme="minorHAnsi"/>
          <w:color w:val="000000"/>
          <w:sz w:val="24"/>
          <w:szCs w:val="24"/>
        </w:rPr>
      </w:pPr>
      <w:r w:rsidRPr="00DF7E4A">
        <w:rPr>
          <w:rFonts w:cstheme="minorHAnsi"/>
          <w:color w:val="000000"/>
          <w:sz w:val="24"/>
          <w:szCs w:val="24"/>
        </w:rPr>
        <w:t>Anslag av statsmedel till tryckning av doktorsavhandling utgår enligt av fakultetsnämnden bestämda regler.</w:t>
      </w:r>
    </w:p>
    <w:p w14:paraId="1D2E0959" w14:textId="77777777" w:rsidR="00945AF0" w:rsidRPr="00DF7E4A" w:rsidRDefault="00945AF0" w:rsidP="004140ED">
      <w:pPr>
        <w:tabs>
          <w:tab w:val="left" w:pos="540"/>
        </w:tabs>
        <w:spacing w:after="120" w:line="240" w:lineRule="auto"/>
        <w:rPr>
          <w:rFonts w:cstheme="minorHAnsi"/>
          <w:color w:val="000000"/>
          <w:sz w:val="24"/>
          <w:szCs w:val="24"/>
        </w:rPr>
      </w:pPr>
      <w:r w:rsidRPr="00DF7E4A">
        <w:rPr>
          <w:rFonts w:cstheme="minorHAnsi"/>
          <w:color w:val="000000"/>
          <w:sz w:val="24"/>
          <w:szCs w:val="24"/>
        </w:rPr>
        <w:t>Detta gäller, i tillämpliga delar, även licentiatuppsatser.</w:t>
      </w:r>
    </w:p>
    <w:p w14:paraId="0A2955DB" w14:textId="0DCA7926" w:rsidR="00945AF0" w:rsidRPr="00DF7E4A" w:rsidRDefault="00B4471D" w:rsidP="00290C8D">
      <w:pPr>
        <w:pStyle w:val="Heading4"/>
        <w:rPr>
          <w:i w:val="0"/>
        </w:rPr>
      </w:pPr>
      <w:r w:rsidRPr="00DF7E4A">
        <w:rPr>
          <w:i w:val="0"/>
        </w:rPr>
        <w:t>6.</w:t>
      </w:r>
      <w:r w:rsidR="00D84F5F" w:rsidRPr="00DF7E4A">
        <w:rPr>
          <w:i w:val="0"/>
        </w:rPr>
        <w:t>4</w:t>
      </w:r>
      <w:r w:rsidR="00945AF0" w:rsidRPr="00DF7E4A">
        <w:rPr>
          <w:i w:val="0"/>
        </w:rPr>
        <w:t>.1 Disputation</w:t>
      </w:r>
    </w:p>
    <w:p w14:paraId="6ECF60B6" w14:textId="77777777" w:rsidR="00E0097A" w:rsidRPr="00DF7E4A" w:rsidRDefault="00945AF0" w:rsidP="00290C8D">
      <w:pPr>
        <w:spacing w:after="120" w:line="240" w:lineRule="auto"/>
        <w:rPr>
          <w:rFonts w:cstheme="minorHAnsi"/>
          <w:color w:val="000000"/>
          <w:sz w:val="24"/>
          <w:szCs w:val="24"/>
        </w:rPr>
      </w:pPr>
      <w:r w:rsidRPr="00DF7E4A">
        <w:rPr>
          <w:rFonts w:cstheme="minorHAnsi"/>
          <w:color w:val="000000"/>
          <w:sz w:val="24"/>
          <w:szCs w:val="24"/>
        </w:rPr>
        <w:t xml:space="preserve">Studierna avslutas med att doktoranden försvarar </w:t>
      </w:r>
      <w:r w:rsidR="00E0097A" w:rsidRPr="00DF7E4A">
        <w:rPr>
          <w:rFonts w:cstheme="minorHAnsi"/>
          <w:color w:val="000000"/>
          <w:sz w:val="24"/>
          <w:szCs w:val="24"/>
        </w:rPr>
        <w:t xml:space="preserve">sin </w:t>
      </w:r>
      <w:r w:rsidRPr="00DF7E4A">
        <w:rPr>
          <w:rFonts w:cstheme="minorHAnsi"/>
          <w:color w:val="000000"/>
          <w:sz w:val="24"/>
          <w:szCs w:val="24"/>
        </w:rPr>
        <w:t>avhandling vid offentlig disputation.</w:t>
      </w:r>
      <w:r w:rsidR="00A66B5A" w:rsidRPr="00DF7E4A">
        <w:rPr>
          <w:rFonts w:cstheme="minorHAnsi"/>
          <w:color w:val="000000"/>
          <w:sz w:val="24"/>
          <w:szCs w:val="24"/>
        </w:rPr>
        <w:t xml:space="preserve"> Disputationen kan hållas på svenska eller engelska. </w:t>
      </w:r>
    </w:p>
    <w:p w14:paraId="24BE2220" w14:textId="77777777" w:rsidR="00A66B5A" w:rsidRPr="00DF7E4A" w:rsidRDefault="00A66B5A" w:rsidP="00A66B5A">
      <w:pPr>
        <w:pStyle w:val="CommentText"/>
      </w:pPr>
      <w:r w:rsidRPr="00DF7E4A">
        <w:t>Doktorsavhandling</w:t>
      </w:r>
      <w:r w:rsidR="00472E4C" w:rsidRPr="00DF7E4A">
        <w:t>en</w:t>
      </w:r>
      <w:r w:rsidRPr="00DF7E4A">
        <w:t xml:space="preserve"> bedöms med något av betygen underkänd eller godkänd</w:t>
      </w:r>
      <w:r w:rsidR="00472E4C" w:rsidRPr="00DF7E4A">
        <w:t xml:space="preserve">. I betygsättningen beaktas </w:t>
      </w:r>
      <w:r w:rsidRPr="00DF7E4A">
        <w:t>såväl avhandlingens innehåll som det offentliga försvaret av avhandlingen</w:t>
      </w:r>
      <w:r w:rsidR="00472E4C" w:rsidRPr="00DF7E4A">
        <w:t>. B</w:t>
      </w:r>
      <w:r w:rsidRPr="00DF7E4A">
        <w:t>etyg för en doktorsavhandling beslutas av en betygsnämnd, som utses särskilt för varje avhandling</w:t>
      </w:r>
      <w:r w:rsidR="0066174D" w:rsidRPr="00DF7E4A">
        <w:t>.</w:t>
      </w:r>
    </w:p>
    <w:p w14:paraId="2D2FF0C8" w14:textId="77777777" w:rsidR="00A66B5A" w:rsidRPr="00DF7E4A" w:rsidRDefault="00A66B5A" w:rsidP="00290C8D">
      <w:pPr>
        <w:spacing w:after="120" w:line="240" w:lineRule="auto"/>
        <w:rPr>
          <w:rFonts w:cstheme="minorHAnsi"/>
          <w:color w:val="000000"/>
          <w:sz w:val="24"/>
          <w:szCs w:val="24"/>
        </w:rPr>
      </w:pPr>
    </w:p>
    <w:p w14:paraId="2334E341" w14:textId="77777777" w:rsidR="00290C8D" w:rsidRPr="00DF7E4A" w:rsidRDefault="00945AF0" w:rsidP="00290C8D">
      <w:pPr>
        <w:spacing w:after="120" w:line="240" w:lineRule="auto"/>
        <w:rPr>
          <w:rFonts w:cstheme="minorHAnsi"/>
          <w:color w:val="000000"/>
          <w:sz w:val="24"/>
          <w:szCs w:val="24"/>
        </w:rPr>
      </w:pPr>
      <w:r w:rsidRPr="00DF7E4A">
        <w:rPr>
          <w:rFonts w:cstheme="minorHAnsi"/>
          <w:color w:val="000000"/>
          <w:sz w:val="24"/>
          <w:szCs w:val="24"/>
        </w:rPr>
        <w:lastRenderedPageBreak/>
        <w:t xml:space="preserve">Bestämmelser för detta finns i högskoleförordningens 6 kapitel, i </w:t>
      </w:r>
      <w:r w:rsidRPr="00DF7E4A">
        <w:rPr>
          <w:rFonts w:cstheme="minorHAnsi"/>
          <w:sz w:val="24"/>
          <w:szCs w:val="24"/>
        </w:rPr>
        <w:t>föreskrifter för utbildning på forskarnivå vid Stockholms universitet</w:t>
      </w:r>
      <w:r w:rsidRPr="00DF7E4A">
        <w:rPr>
          <w:rFonts w:cstheme="minorHAnsi"/>
          <w:b/>
          <w:sz w:val="24"/>
          <w:szCs w:val="24"/>
        </w:rPr>
        <w:t xml:space="preserve"> </w:t>
      </w:r>
      <w:r w:rsidRPr="00DF7E4A">
        <w:rPr>
          <w:rFonts w:cstheme="minorHAnsi"/>
          <w:sz w:val="24"/>
          <w:szCs w:val="24"/>
        </w:rPr>
        <w:t>(www.su.se/regelboken/bok-2/forskarutbildning-och-forskning)</w:t>
      </w:r>
      <w:r w:rsidRPr="00DF7E4A">
        <w:rPr>
          <w:rFonts w:cstheme="minorHAnsi"/>
          <w:color w:val="000000"/>
          <w:sz w:val="24"/>
          <w:szCs w:val="24"/>
        </w:rPr>
        <w:t xml:space="preserve"> samt i </w:t>
      </w:r>
      <w:r w:rsidRPr="00DF7E4A">
        <w:rPr>
          <w:rFonts w:cstheme="minorHAnsi"/>
          <w:sz w:val="24"/>
          <w:szCs w:val="24"/>
        </w:rPr>
        <w:t>riktlinjer rörande disputationer vid Samhällsvetenskapliga fakulteten</w:t>
      </w:r>
      <w:r w:rsidRPr="00DF7E4A">
        <w:rPr>
          <w:rFonts w:cstheme="minorHAnsi"/>
          <w:color w:val="000000"/>
          <w:sz w:val="24"/>
          <w:szCs w:val="24"/>
        </w:rPr>
        <w:t xml:space="preserve"> anvisningar utfärdade av samhällsvetenskapliga fakultetsnämnden</w:t>
      </w:r>
      <w:r w:rsidRPr="00DF7E4A">
        <w:rPr>
          <w:rFonts w:cstheme="minorHAnsi"/>
          <w:sz w:val="24"/>
          <w:szCs w:val="24"/>
        </w:rPr>
        <w:t xml:space="preserve"> </w:t>
      </w:r>
      <w:r w:rsidRPr="00DF7E4A">
        <w:rPr>
          <w:rFonts w:cstheme="minorHAnsi"/>
          <w:color w:val="000000"/>
          <w:sz w:val="24"/>
          <w:szCs w:val="24"/>
        </w:rPr>
        <w:t>(</w:t>
      </w:r>
      <w:hyperlink r:id="rId8" w:history="1">
        <w:r w:rsidRPr="00DF7E4A">
          <w:rPr>
            <w:rStyle w:val="Hyperlink"/>
            <w:rFonts w:cstheme="minorHAnsi"/>
            <w:sz w:val="24"/>
            <w:szCs w:val="24"/>
          </w:rPr>
          <w:t>www.samfak.su.se</w:t>
        </w:r>
      </w:hyperlink>
      <w:r w:rsidRPr="00DF7E4A">
        <w:rPr>
          <w:rFonts w:cstheme="minorHAnsi"/>
          <w:color w:val="000000"/>
          <w:sz w:val="24"/>
          <w:szCs w:val="24"/>
        </w:rPr>
        <w:t>). Avhandlingen bedöms efter disputation med betyget godkänd eller underkänd</w:t>
      </w:r>
      <w:bookmarkStart w:id="79" w:name="_Toc441140850"/>
      <w:bookmarkStart w:id="80" w:name="_Toc441142510"/>
      <w:r w:rsidR="00FE26EE" w:rsidRPr="00DF7E4A">
        <w:rPr>
          <w:rFonts w:cstheme="minorHAnsi"/>
          <w:color w:val="000000"/>
          <w:sz w:val="24"/>
          <w:szCs w:val="24"/>
        </w:rPr>
        <w:t>.</w:t>
      </w:r>
    </w:p>
    <w:p w14:paraId="3EFEE9BD" w14:textId="3D33F854" w:rsidR="003C731B" w:rsidRPr="00DF7E4A" w:rsidRDefault="001C29C8" w:rsidP="00290C8D">
      <w:pPr>
        <w:pStyle w:val="Heading3"/>
      </w:pPr>
      <w:r w:rsidRPr="00DF7E4A">
        <w:t>6.</w:t>
      </w:r>
      <w:r w:rsidR="00D84F5F" w:rsidRPr="00DF7E4A">
        <w:t xml:space="preserve">5 </w:t>
      </w:r>
      <w:r w:rsidR="004140ED" w:rsidRPr="00DF7E4A">
        <w:t xml:space="preserve"> </w:t>
      </w:r>
      <w:r w:rsidR="00431661" w:rsidRPr="00DF7E4A">
        <w:t>Licentiatuppsats och licentiatseminarium</w:t>
      </w:r>
      <w:bookmarkEnd w:id="79"/>
      <w:bookmarkEnd w:id="80"/>
    </w:p>
    <w:p w14:paraId="5459C92E" w14:textId="77777777" w:rsidR="00945AF0" w:rsidRPr="00DF7E4A" w:rsidRDefault="0066174D" w:rsidP="004140ED">
      <w:pPr>
        <w:spacing w:after="120" w:line="240" w:lineRule="auto"/>
        <w:rPr>
          <w:rFonts w:cstheme="minorHAnsi"/>
          <w:color w:val="000000"/>
          <w:sz w:val="24"/>
          <w:szCs w:val="24"/>
        </w:rPr>
      </w:pPr>
      <w:r w:rsidRPr="00DF7E4A">
        <w:rPr>
          <w:rFonts w:cstheme="minorHAnsi"/>
          <w:color w:val="000000"/>
          <w:sz w:val="24"/>
          <w:szCs w:val="24"/>
        </w:rPr>
        <w:t xml:space="preserve">För licentiatexamen behövs en godkänd avhandling som utgörs av ett självständigt arbete inom området internationella relationer, som motsvarar 60 högskolepoäng. </w:t>
      </w:r>
      <w:r w:rsidR="00945AF0" w:rsidRPr="00DF7E4A">
        <w:rPr>
          <w:rFonts w:cstheme="minorHAnsi"/>
          <w:color w:val="000000"/>
          <w:sz w:val="24"/>
          <w:szCs w:val="24"/>
        </w:rPr>
        <w:t xml:space="preserve">Licentiatuppsatsen skall vid ett offentligt seminarium som äger rum på terminstid granskas av en opponent med lägst doktorsexamen som har goda kunskaper om för uppsatsen väsentliga ämnesområden och metoder. Uppsatsen skall ha funnits tillgänglig på institutionen och universitetsbiblioteket minst två terminsveckor innan seminariet äger rum. Meddelande om att uppsatsen skall behandlas skall sändas till övriga institutioner i samma ämne vid landets universitet och högskolor. </w:t>
      </w:r>
    </w:p>
    <w:p w14:paraId="1387DB88" w14:textId="77777777" w:rsidR="00945AF0" w:rsidRPr="00DF7E4A" w:rsidRDefault="00945AF0" w:rsidP="004140ED">
      <w:pPr>
        <w:spacing w:after="120" w:line="240" w:lineRule="auto"/>
        <w:rPr>
          <w:rFonts w:cstheme="minorHAnsi"/>
          <w:color w:val="000000"/>
          <w:sz w:val="24"/>
          <w:szCs w:val="24"/>
        </w:rPr>
      </w:pPr>
      <w:r w:rsidRPr="00DF7E4A">
        <w:rPr>
          <w:rFonts w:cstheme="minorHAnsi"/>
          <w:color w:val="000000"/>
          <w:sz w:val="24"/>
          <w:szCs w:val="24"/>
        </w:rPr>
        <w:t xml:space="preserve">Betyg på den licentiatuppsatsen bestäms av en examinator som är professor i ämnet eller av en betygsnämnd bestående av tre lärare, varav minst en professor i ämnet. Övriga ledamöter skall ha lägst doktorskompetens. Opponent och examinator eller eventuell betygsnämnd utses av institutionsstyrelsen. </w:t>
      </w:r>
    </w:p>
    <w:p w14:paraId="5DFDA082" w14:textId="77777777" w:rsidR="00945AF0" w:rsidRPr="00DF7E4A" w:rsidRDefault="00945AF0" w:rsidP="004140ED">
      <w:pPr>
        <w:spacing w:after="120" w:line="240" w:lineRule="auto"/>
        <w:rPr>
          <w:rFonts w:cstheme="minorHAnsi"/>
          <w:color w:val="000000"/>
          <w:sz w:val="24"/>
          <w:szCs w:val="24"/>
        </w:rPr>
      </w:pPr>
      <w:r w:rsidRPr="00DF7E4A">
        <w:rPr>
          <w:rFonts w:cstheme="minorHAnsi"/>
          <w:color w:val="000000"/>
          <w:sz w:val="24"/>
          <w:szCs w:val="24"/>
        </w:rPr>
        <w:t xml:space="preserve">Som betyg på kurser och uppsats används något av uttrycken underkänd och godkänd. Betyg på uppsatsen skall anmälas till fakultetsnämnden. </w:t>
      </w:r>
    </w:p>
    <w:p w14:paraId="66038C97" w14:textId="77777777" w:rsidR="00945AF0" w:rsidRPr="00DF7E4A" w:rsidRDefault="00945AF0" w:rsidP="004140ED">
      <w:pPr>
        <w:spacing w:after="120" w:line="240" w:lineRule="auto"/>
        <w:rPr>
          <w:rFonts w:cstheme="minorHAnsi"/>
          <w:sz w:val="24"/>
          <w:szCs w:val="24"/>
        </w:rPr>
      </w:pPr>
      <w:r w:rsidRPr="00DF7E4A">
        <w:rPr>
          <w:rFonts w:cstheme="minorHAnsi"/>
          <w:color w:val="000000"/>
          <w:sz w:val="24"/>
          <w:szCs w:val="24"/>
        </w:rPr>
        <w:t xml:space="preserve">I övrigt gäller i tillämpliga delar samma bestämmelser för licentiatexamen som för utbildningen på forskarnivå i stort. </w:t>
      </w:r>
      <w:r w:rsidRPr="00DF7E4A">
        <w:rPr>
          <w:rFonts w:cstheme="minorHAnsi"/>
          <w:sz w:val="24"/>
          <w:szCs w:val="24"/>
        </w:rPr>
        <w:t>Se www.samfak.su.se</w:t>
      </w:r>
    </w:p>
    <w:p w14:paraId="3135763E" w14:textId="77777777" w:rsidR="003C731B" w:rsidRPr="001B0F0B" w:rsidRDefault="00B83DE1" w:rsidP="00B83DE1">
      <w:pPr>
        <w:pStyle w:val="Heading2"/>
      </w:pPr>
      <w:bookmarkStart w:id="81" w:name="_Toc441140852"/>
      <w:bookmarkStart w:id="82" w:name="_Toc441142512"/>
      <w:r w:rsidRPr="00DF7E4A">
        <w:t xml:space="preserve">7. </w:t>
      </w:r>
      <w:r w:rsidR="00431661" w:rsidRPr="00DF7E4A">
        <w:t>Öv</w:t>
      </w:r>
      <w:bookmarkEnd w:id="81"/>
      <w:bookmarkEnd w:id="82"/>
      <w:r w:rsidR="004F1EA0" w:rsidRPr="00DF7E4A">
        <w:t>ergångsregler</w:t>
      </w:r>
    </w:p>
    <w:p w14:paraId="6B05E5E3" w14:textId="77777777" w:rsidR="004F1EA0" w:rsidRPr="001B0F0B" w:rsidRDefault="004F1EA0" w:rsidP="003A3BCA">
      <w:pPr>
        <w:spacing w:line="240" w:lineRule="auto"/>
        <w:rPr>
          <w:sz w:val="24"/>
          <w:szCs w:val="24"/>
          <w:lang w:eastAsia="sv-SE"/>
        </w:rPr>
      </w:pPr>
      <w:r w:rsidRPr="001B0F0B">
        <w:rPr>
          <w:sz w:val="24"/>
          <w:szCs w:val="24"/>
          <w:lang w:eastAsia="sv-SE"/>
        </w:rPr>
        <w:t>Doktorander som har antagits innan den allmänna studieplanen börjat gälla, kan efter samråd med huvudhandledare och studierektor, begära att få gå över till denna studieplan. Begäran ska ställas till Institutionsstyrelsen. Den individuella studieplanen ska då uppdateras</w:t>
      </w:r>
      <w:r w:rsidR="000A740E" w:rsidRPr="001B0F0B">
        <w:rPr>
          <w:sz w:val="24"/>
          <w:szCs w:val="24"/>
          <w:lang w:eastAsia="sv-SE"/>
        </w:rPr>
        <w:t>.</w:t>
      </w:r>
    </w:p>
    <w:p w14:paraId="5C512C99" w14:textId="77777777" w:rsidR="004F1EA0" w:rsidRPr="001B0F0B" w:rsidRDefault="001F7D6D" w:rsidP="004F1EA0">
      <w:pPr>
        <w:pStyle w:val="Heading2"/>
      </w:pPr>
      <w:r w:rsidRPr="001B0F0B">
        <w:t xml:space="preserve">8. </w:t>
      </w:r>
      <w:r w:rsidR="004F1EA0" w:rsidRPr="001B0F0B">
        <w:t>Övrigt</w:t>
      </w:r>
    </w:p>
    <w:p w14:paraId="3128E298" w14:textId="77777777" w:rsidR="0082595C" w:rsidRPr="004140ED" w:rsidRDefault="00945AF0" w:rsidP="004140ED">
      <w:pPr>
        <w:pStyle w:val="CommentText"/>
        <w:spacing w:after="120"/>
        <w:rPr>
          <w:rFonts w:cstheme="minorHAnsi"/>
        </w:rPr>
      </w:pPr>
      <w:r w:rsidRPr="001B0F0B">
        <w:rPr>
          <w:rFonts w:cstheme="minorHAnsi"/>
        </w:rPr>
        <w:t xml:space="preserve">I övrigt hänvisas till gällande lagstiftning, riktlinjer vid Stockholms universitet och vid Samhällsvetenskapliga fakulteten samt lokala tillämpningsföreskrifter. Uppgifter om aktuella regelverk finns tillgängligt via </w:t>
      </w:r>
      <w:r w:rsidRPr="001B0F0B">
        <w:rPr>
          <w:rFonts w:cstheme="minorHAnsi"/>
          <w:color w:val="0000FF"/>
        </w:rPr>
        <w:t>www.samfak.su.se</w:t>
      </w:r>
      <w:r w:rsidRPr="001B0F0B">
        <w:rPr>
          <w:rFonts w:cstheme="minorHAnsi"/>
        </w:rPr>
        <w:t>.</w:t>
      </w:r>
    </w:p>
    <w:sectPr w:rsidR="0082595C" w:rsidRPr="004140ED" w:rsidSect="00D61963">
      <w:headerReference w:type="default" r:id="rId9"/>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C222" w14:textId="77777777" w:rsidR="00704618" w:rsidRDefault="00704618">
      <w:r>
        <w:separator/>
      </w:r>
    </w:p>
    <w:p w14:paraId="1CB367FF" w14:textId="77777777" w:rsidR="00704618" w:rsidRDefault="00704618"/>
  </w:endnote>
  <w:endnote w:type="continuationSeparator" w:id="0">
    <w:p w14:paraId="63BC8278" w14:textId="77777777" w:rsidR="00704618" w:rsidRDefault="00704618">
      <w:r>
        <w:continuationSeparator/>
      </w:r>
    </w:p>
    <w:p w14:paraId="51E61534" w14:textId="77777777" w:rsidR="00704618" w:rsidRDefault="00704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LT St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5B76" w14:textId="77777777" w:rsidR="00704618" w:rsidRDefault="00704618">
      <w:r>
        <w:separator/>
      </w:r>
    </w:p>
  </w:footnote>
  <w:footnote w:type="continuationSeparator" w:id="0">
    <w:p w14:paraId="4A818D34" w14:textId="77777777" w:rsidR="00704618" w:rsidRDefault="00704618">
      <w:r>
        <w:continuationSeparator/>
      </w:r>
    </w:p>
  </w:footnote>
  <w:footnote w:type="continuationNotice" w:id="1">
    <w:p w14:paraId="57B4B8EB" w14:textId="77777777" w:rsidR="00704618" w:rsidRPr="00845E76" w:rsidRDefault="00704618" w:rsidP="00845E7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3A3BCA" w14:paraId="4C0A5BAA" w14:textId="77777777" w:rsidTr="0047333B">
      <w:trPr>
        <w:trHeight w:hRule="exact" w:val="1389"/>
      </w:trPr>
      <w:tc>
        <w:tcPr>
          <w:tcW w:w="4428" w:type="dxa"/>
          <w:vAlign w:val="bottom"/>
        </w:tcPr>
        <w:p w14:paraId="6F8BD1EE" w14:textId="77777777" w:rsidR="003A3BCA" w:rsidRPr="00E134E6" w:rsidRDefault="003A3BCA" w:rsidP="00757FD6">
          <w:pPr>
            <w:pStyle w:val="Adress"/>
          </w:pPr>
          <w:r>
            <w:rPr>
              <w:lang w:eastAsia="sv-SE"/>
            </w:rPr>
            <w:drawing>
              <wp:inline distT="0" distB="0" distL="0" distR="0" wp14:anchorId="0BECBF87" wp14:editId="147C57BE">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160" w:type="dxa"/>
          <w:vAlign w:val="bottom"/>
        </w:tcPr>
        <w:p w14:paraId="620179FD" w14:textId="588699E3" w:rsidR="003A3BCA" w:rsidRPr="00E134E6" w:rsidRDefault="00850606" w:rsidP="00757FD6">
          <w:pPr>
            <w:pStyle w:val="Header"/>
          </w:pPr>
          <w:r>
            <w:t>Dnr SU FV-2277-19</w:t>
          </w:r>
        </w:p>
      </w:tc>
      <w:tc>
        <w:tcPr>
          <w:tcW w:w="2297" w:type="dxa"/>
          <w:vAlign w:val="bottom"/>
        </w:tcPr>
        <w:p w14:paraId="6DB1D9B7" w14:textId="77777777" w:rsidR="003A3BCA" w:rsidRPr="00E134E6" w:rsidRDefault="003A3BCA" w:rsidP="00757FD6">
          <w:pPr>
            <w:pStyle w:val="Header"/>
          </w:pPr>
        </w:p>
      </w:tc>
      <w:tc>
        <w:tcPr>
          <w:tcW w:w="686" w:type="dxa"/>
        </w:tcPr>
        <w:p w14:paraId="5AFA3684" w14:textId="22547658" w:rsidR="003A3BCA" w:rsidRPr="00A11BCF" w:rsidRDefault="003A3BCA" w:rsidP="00F258C2">
          <w:pPr>
            <w:jc w:val="right"/>
          </w:pPr>
          <w:r w:rsidRPr="00B26BB6">
            <w:rPr>
              <w:rStyle w:val="PageNumber"/>
              <w:sz w:val="18"/>
              <w:szCs w:val="18"/>
            </w:rPr>
            <w:fldChar w:fldCharType="begin"/>
          </w:r>
          <w:r w:rsidRPr="00B26BB6">
            <w:rPr>
              <w:rStyle w:val="PageNumber"/>
              <w:sz w:val="18"/>
              <w:szCs w:val="18"/>
            </w:rPr>
            <w:instrText xml:space="preserve"> PAGE </w:instrText>
          </w:r>
          <w:r w:rsidRPr="00B26BB6">
            <w:rPr>
              <w:rStyle w:val="PageNumber"/>
              <w:sz w:val="18"/>
              <w:szCs w:val="18"/>
            </w:rPr>
            <w:fldChar w:fldCharType="separate"/>
          </w:r>
          <w:r w:rsidR="00A74A52">
            <w:rPr>
              <w:rStyle w:val="PageNumber"/>
              <w:noProof/>
              <w:sz w:val="18"/>
              <w:szCs w:val="18"/>
            </w:rPr>
            <w:t>4</w:t>
          </w:r>
          <w:r w:rsidRPr="00B26BB6">
            <w:rPr>
              <w:rStyle w:val="PageNumber"/>
              <w:sz w:val="18"/>
              <w:szCs w:val="18"/>
            </w:rPr>
            <w:fldChar w:fldCharType="end"/>
          </w:r>
          <w:r>
            <w:rPr>
              <w:rStyle w:val="PageNumber"/>
              <w:sz w:val="18"/>
              <w:szCs w:val="18"/>
            </w:rPr>
            <w:t xml:space="preserve"> </w:t>
          </w:r>
          <w:r w:rsidRPr="00B26BB6">
            <w:rPr>
              <w:rStyle w:val="PageNumber"/>
              <w:sz w:val="18"/>
              <w:szCs w:val="18"/>
            </w:rPr>
            <w:t>(</w:t>
          </w:r>
          <w:r w:rsidRPr="00B26BB6">
            <w:rPr>
              <w:rStyle w:val="PageNumber"/>
              <w:sz w:val="18"/>
              <w:szCs w:val="18"/>
            </w:rPr>
            <w:fldChar w:fldCharType="begin"/>
          </w:r>
          <w:r w:rsidRPr="00B26BB6">
            <w:rPr>
              <w:rStyle w:val="PageNumber"/>
              <w:sz w:val="18"/>
              <w:szCs w:val="18"/>
            </w:rPr>
            <w:instrText xml:space="preserve"> NUMPAGES </w:instrText>
          </w:r>
          <w:r w:rsidRPr="00B26BB6">
            <w:rPr>
              <w:rStyle w:val="PageNumber"/>
              <w:sz w:val="18"/>
              <w:szCs w:val="18"/>
            </w:rPr>
            <w:fldChar w:fldCharType="separate"/>
          </w:r>
          <w:r w:rsidR="00A74A52">
            <w:rPr>
              <w:rStyle w:val="PageNumber"/>
              <w:noProof/>
              <w:sz w:val="18"/>
              <w:szCs w:val="18"/>
            </w:rPr>
            <w:t>10</w:t>
          </w:r>
          <w:r w:rsidRPr="00B26BB6">
            <w:rPr>
              <w:rStyle w:val="PageNumber"/>
              <w:sz w:val="18"/>
              <w:szCs w:val="18"/>
            </w:rPr>
            <w:fldChar w:fldCharType="end"/>
          </w:r>
          <w:r w:rsidRPr="00B26BB6">
            <w:rPr>
              <w:rStyle w:val="PageNumber"/>
              <w:sz w:val="18"/>
              <w:szCs w:val="18"/>
            </w:rPr>
            <w:t>)</w:t>
          </w:r>
        </w:p>
      </w:tc>
    </w:tr>
  </w:tbl>
  <w:p w14:paraId="446B704F" w14:textId="77777777" w:rsidR="003A3BCA" w:rsidRDefault="003A3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8298C"/>
    <w:multiLevelType w:val="multilevel"/>
    <w:tmpl w:val="2DC66B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35A81"/>
    <w:multiLevelType w:val="hybridMultilevel"/>
    <w:tmpl w:val="91B08140"/>
    <w:lvl w:ilvl="0" w:tplc="FC5AD1E4">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C4A59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9CFF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0EA60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9A840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85F2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1ED4D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7E5A3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9AAF9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3F417C"/>
    <w:multiLevelType w:val="multilevel"/>
    <w:tmpl w:val="48F662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246861"/>
    <w:multiLevelType w:val="multilevel"/>
    <w:tmpl w:val="1A60498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4D388D"/>
    <w:multiLevelType w:val="multilevel"/>
    <w:tmpl w:val="6E0E984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26"/>
    <w:rsid w:val="00003068"/>
    <w:rsid w:val="00004E9A"/>
    <w:rsid w:val="000051A8"/>
    <w:rsid w:val="0000525D"/>
    <w:rsid w:val="0000572B"/>
    <w:rsid w:val="00005930"/>
    <w:rsid w:val="000120C4"/>
    <w:rsid w:val="00013156"/>
    <w:rsid w:val="000139DD"/>
    <w:rsid w:val="00016195"/>
    <w:rsid w:val="00016535"/>
    <w:rsid w:val="000176F4"/>
    <w:rsid w:val="0002159D"/>
    <w:rsid w:val="00021DA8"/>
    <w:rsid w:val="00025ABB"/>
    <w:rsid w:val="00026695"/>
    <w:rsid w:val="000302ED"/>
    <w:rsid w:val="000319D9"/>
    <w:rsid w:val="00031A1B"/>
    <w:rsid w:val="00034F92"/>
    <w:rsid w:val="000350EC"/>
    <w:rsid w:val="00043177"/>
    <w:rsid w:val="000433C4"/>
    <w:rsid w:val="0004481B"/>
    <w:rsid w:val="00047619"/>
    <w:rsid w:val="00052060"/>
    <w:rsid w:val="00052B61"/>
    <w:rsid w:val="000652D3"/>
    <w:rsid w:val="00070481"/>
    <w:rsid w:val="00072A7D"/>
    <w:rsid w:val="000741C8"/>
    <w:rsid w:val="00075665"/>
    <w:rsid w:val="00080B34"/>
    <w:rsid w:val="00080F58"/>
    <w:rsid w:val="000823EB"/>
    <w:rsid w:val="00084CB0"/>
    <w:rsid w:val="000876EA"/>
    <w:rsid w:val="00087DA5"/>
    <w:rsid w:val="000904CD"/>
    <w:rsid w:val="00090DFE"/>
    <w:rsid w:val="0009183C"/>
    <w:rsid w:val="00092809"/>
    <w:rsid w:val="000939C2"/>
    <w:rsid w:val="00094164"/>
    <w:rsid w:val="00094A04"/>
    <w:rsid w:val="00095734"/>
    <w:rsid w:val="00097035"/>
    <w:rsid w:val="000A36AB"/>
    <w:rsid w:val="000A654F"/>
    <w:rsid w:val="000A6E16"/>
    <w:rsid w:val="000A740E"/>
    <w:rsid w:val="000B06E8"/>
    <w:rsid w:val="000B0EE8"/>
    <w:rsid w:val="000B0F38"/>
    <w:rsid w:val="000B39AB"/>
    <w:rsid w:val="000B57F6"/>
    <w:rsid w:val="000B5E32"/>
    <w:rsid w:val="000B7712"/>
    <w:rsid w:val="000C1FE9"/>
    <w:rsid w:val="000C2239"/>
    <w:rsid w:val="000D5D7D"/>
    <w:rsid w:val="000D603F"/>
    <w:rsid w:val="000E54C5"/>
    <w:rsid w:val="000E78ED"/>
    <w:rsid w:val="000F1329"/>
    <w:rsid w:val="000F2231"/>
    <w:rsid w:val="000F266E"/>
    <w:rsid w:val="000F2A67"/>
    <w:rsid w:val="000F3095"/>
    <w:rsid w:val="000F3206"/>
    <w:rsid w:val="000F370B"/>
    <w:rsid w:val="000F7297"/>
    <w:rsid w:val="000F75F6"/>
    <w:rsid w:val="00100780"/>
    <w:rsid w:val="00101024"/>
    <w:rsid w:val="00101BCE"/>
    <w:rsid w:val="00102330"/>
    <w:rsid w:val="00103804"/>
    <w:rsid w:val="0010571A"/>
    <w:rsid w:val="0010693B"/>
    <w:rsid w:val="00107BBD"/>
    <w:rsid w:val="00110BDC"/>
    <w:rsid w:val="00110C89"/>
    <w:rsid w:val="001135EB"/>
    <w:rsid w:val="00114C3E"/>
    <w:rsid w:val="00116F0A"/>
    <w:rsid w:val="0011743F"/>
    <w:rsid w:val="0012019C"/>
    <w:rsid w:val="00124C70"/>
    <w:rsid w:val="00125371"/>
    <w:rsid w:val="00127654"/>
    <w:rsid w:val="001302D6"/>
    <w:rsid w:val="00130C7F"/>
    <w:rsid w:val="00133911"/>
    <w:rsid w:val="00142F6D"/>
    <w:rsid w:val="00143AA2"/>
    <w:rsid w:val="00146E16"/>
    <w:rsid w:val="00150059"/>
    <w:rsid w:val="00150A81"/>
    <w:rsid w:val="00151C0D"/>
    <w:rsid w:val="001536AF"/>
    <w:rsid w:val="0015456D"/>
    <w:rsid w:val="00156915"/>
    <w:rsid w:val="00156993"/>
    <w:rsid w:val="001622FC"/>
    <w:rsid w:val="00163947"/>
    <w:rsid w:val="00163DBB"/>
    <w:rsid w:val="001643E0"/>
    <w:rsid w:val="00164C54"/>
    <w:rsid w:val="00165793"/>
    <w:rsid w:val="00170F96"/>
    <w:rsid w:val="00172006"/>
    <w:rsid w:val="00172590"/>
    <w:rsid w:val="00172988"/>
    <w:rsid w:val="001754E5"/>
    <w:rsid w:val="00176108"/>
    <w:rsid w:val="001804BE"/>
    <w:rsid w:val="00180D12"/>
    <w:rsid w:val="0018162C"/>
    <w:rsid w:val="00181C8F"/>
    <w:rsid w:val="00182E2F"/>
    <w:rsid w:val="0018313D"/>
    <w:rsid w:val="00184807"/>
    <w:rsid w:val="00184890"/>
    <w:rsid w:val="00192AF8"/>
    <w:rsid w:val="00193FC3"/>
    <w:rsid w:val="00194AE4"/>
    <w:rsid w:val="00194E0C"/>
    <w:rsid w:val="001958DC"/>
    <w:rsid w:val="00196099"/>
    <w:rsid w:val="0019609E"/>
    <w:rsid w:val="001A15C2"/>
    <w:rsid w:val="001A5D78"/>
    <w:rsid w:val="001A5E02"/>
    <w:rsid w:val="001B050A"/>
    <w:rsid w:val="001B0F0B"/>
    <w:rsid w:val="001B4BC7"/>
    <w:rsid w:val="001B5993"/>
    <w:rsid w:val="001C21D3"/>
    <w:rsid w:val="001C25AE"/>
    <w:rsid w:val="001C2662"/>
    <w:rsid w:val="001C29C8"/>
    <w:rsid w:val="001C2AC9"/>
    <w:rsid w:val="001C2C46"/>
    <w:rsid w:val="001C50CB"/>
    <w:rsid w:val="001C54A1"/>
    <w:rsid w:val="001D3208"/>
    <w:rsid w:val="001D3452"/>
    <w:rsid w:val="001D6F8D"/>
    <w:rsid w:val="001D7125"/>
    <w:rsid w:val="001D784D"/>
    <w:rsid w:val="001E352B"/>
    <w:rsid w:val="001E4FB2"/>
    <w:rsid w:val="001F00ED"/>
    <w:rsid w:val="001F031A"/>
    <w:rsid w:val="001F0DB3"/>
    <w:rsid w:val="001F17C7"/>
    <w:rsid w:val="001F441B"/>
    <w:rsid w:val="001F6967"/>
    <w:rsid w:val="001F69E2"/>
    <w:rsid w:val="001F7D6D"/>
    <w:rsid w:val="00201E15"/>
    <w:rsid w:val="0020276B"/>
    <w:rsid w:val="00204936"/>
    <w:rsid w:val="00207361"/>
    <w:rsid w:val="002133D3"/>
    <w:rsid w:val="002145C2"/>
    <w:rsid w:val="00215662"/>
    <w:rsid w:val="00217EF3"/>
    <w:rsid w:val="00221A54"/>
    <w:rsid w:val="00225B58"/>
    <w:rsid w:val="0023001C"/>
    <w:rsid w:val="0023301C"/>
    <w:rsid w:val="002359D4"/>
    <w:rsid w:val="00236C98"/>
    <w:rsid w:val="002375ED"/>
    <w:rsid w:val="00240189"/>
    <w:rsid w:val="00240666"/>
    <w:rsid w:val="002407C2"/>
    <w:rsid w:val="0024186E"/>
    <w:rsid w:val="00242B11"/>
    <w:rsid w:val="00243A11"/>
    <w:rsid w:val="00243ACA"/>
    <w:rsid w:val="00245029"/>
    <w:rsid w:val="00245A39"/>
    <w:rsid w:val="00247C75"/>
    <w:rsid w:val="00253FA3"/>
    <w:rsid w:val="00254687"/>
    <w:rsid w:val="0026031D"/>
    <w:rsid w:val="0026212D"/>
    <w:rsid w:val="00262D47"/>
    <w:rsid w:val="0026313B"/>
    <w:rsid w:val="0026424B"/>
    <w:rsid w:val="00267015"/>
    <w:rsid w:val="002670F5"/>
    <w:rsid w:val="00267FFB"/>
    <w:rsid w:val="00271438"/>
    <w:rsid w:val="00271AEF"/>
    <w:rsid w:val="00273803"/>
    <w:rsid w:val="00285FED"/>
    <w:rsid w:val="00290C8D"/>
    <w:rsid w:val="00291A2E"/>
    <w:rsid w:val="002922C6"/>
    <w:rsid w:val="00293267"/>
    <w:rsid w:val="002976C1"/>
    <w:rsid w:val="002A063D"/>
    <w:rsid w:val="002A07B7"/>
    <w:rsid w:val="002A084E"/>
    <w:rsid w:val="002A2BD7"/>
    <w:rsid w:val="002A7C27"/>
    <w:rsid w:val="002A7D46"/>
    <w:rsid w:val="002B324B"/>
    <w:rsid w:val="002B794B"/>
    <w:rsid w:val="002C272D"/>
    <w:rsid w:val="002C3F7F"/>
    <w:rsid w:val="002C5FB9"/>
    <w:rsid w:val="002C667F"/>
    <w:rsid w:val="002C7153"/>
    <w:rsid w:val="002D0B64"/>
    <w:rsid w:val="002D2476"/>
    <w:rsid w:val="002D49BC"/>
    <w:rsid w:val="002E08A7"/>
    <w:rsid w:val="002E1024"/>
    <w:rsid w:val="002E2062"/>
    <w:rsid w:val="002E2442"/>
    <w:rsid w:val="002E3D6C"/>
    <w:rsid w:val="002E4119"/>
    <w:rsid w:val="002E4BDB"/>
    <w:rsid w:val="002E6236"/>
    <w:rsid w:val="002E6BAA"/>
    <w:rsid w:val="002E741A"/>
    <w:rsid w:val="002E7BEE"/>
    <w:rsid w:val="002F28F4"/>
    <w:rsid w:val="002F5045"/>
    <w:rsid w:val="00301DEC"/>
    <w:rsid w:val="003020AA"/>
    <w:rsid w:val="00303200"/>
    <w:rsid w:val="00312DCC"/>
    <w:rsid w:val="00312F57"/>
    <w:rsid w:val="003211A0"/>
    <w:rsid w:val="003219C8"/>
    <w:rsid w:val="00322550"/>
    <w:rsid w:val="00322840"/>
    <w:rsid w:val="003238EC"/>
    <w:rsid w:val="00323A9F"/>
    <w:rsid w:val="00324B39"/>
    <w:rsid w:val="00325377"/>
    <w:rsid w:val="00327299"/>
    <w:rsid w:val="00331F00"/>
    <w:rsid w:val="00333FF5"/>
    <w:rsid w:val="003340FB"/>
    <w:rsid w:val="003361C2"/>
    <w:rsid w:val="0033711C"/>
    <w:rsid w:val="003405CD"/>
    <w:rsid w:val="00341DEE"/>
    <w:rsid w:val="00343DC8"/>
    <w:rsid w:val="0034418E"/>
    <w:rsid w:val="0034724E"/>
    <w:rsid w:val="00351D10"/>
    <w:rsid w:val="003555F5"/>
    <w:rsid w:val="00355BF4"/>
    <w:rsid w:val="00356787"/>
    <w:rsid w:val="00357E00"/>
    <w:rsid w:val="003612EA"/>
    <w:rsid w:val="00361B71"/>
    <w:rsid w:val="00365899"/>
    <w:rsid w:val="003673F9"/>
    <w:rsid w:val="00371160"/>
    <w:rsid w:val="0037124E"/>
    <w:rsid w:val="0037144D"/>
    <w:rsid w:val="00375052"/>
    <w:rsid w:val="00380302"/>
    <w:rsid w:val="00380526"/>
    <w:rsid w:val="00382813"/>
    <w:rsid w:val="003857A9"/>
    <w:rsid w:val="003857AC"/>
    <w:rsid w:val="00386032"/>
    <w:rsid w:val="00390BF8"/>
    <w:rsid w:val="003917D5"/>
    <w:rsid w:val="003918FF"/>
    <w:rsid w:val="00391A0C"/>
    <w:rsid w:val="003933FE"/>
    <w:rsid w:val="00393D93"/>
    <w:rsid w:val="00396DF1"/>
    <w:rsid w:val="003A13CC"/>
    <w:rsid w:val="003A3BCA"/>
    <w:rsid w:val="003A425E"/>
    <w:rsid w:val="003A5EE9"/>
    <w:rsid w:val="003B0219"/>
    <w:rsid w:val="003B0F84"/>
    <w:rsid w:val="003B15C0"/>
    <w:rsid w:val="003B470E"/>
    <w:rsid w:val="003B4BD2"/>
    <w:rsid w:val="003B6D06"/>
    <w:rsid w:val="003C46D4"/>
    <w:rsid w:val="003C731B"/>
    <w:rsid w:val="003D0758"/>
    <w:rsid w:val="003D1141"/>
    <w:rsid w:val="003D53AF"/>
    <w:rsid w:val="003E023A"/>
    <w:rsid w:val="003E09AB"/>
    <w:rsid w:val="003E0E2C"/>
    <w:rsid w:val="003E1305"/>
    <w:rsid w:val="003E17DC"/>
    <w:rsid w:val="003E4631"/>
    <w:rsid w:val="003E7417"/>
    <w:rsid w:val="003F041B"/>
    <w:rsid w:val="003F10AB"/>
    <w:rsid w:val="003F2528"/>
    <w:rsid w:val="003F30EE"/>
    <w:rsid w:val="003F3157"/>
    <w:rsid w:val="004059AF"/>
    <w:rsid w:val="00411044"/>
    <w:rsid w:val="00413548"/>
    <w:rsid w:val="004140ED"/>
    <w:rsid w:val="004167E7"/>
    <w:rsid w:val="00422536"/>
    <w:rsid w:val="00424233"/>
    <w:rsid w:val="00424385"/>
    <w:rsid w:val="00431661"/>
    <w:rsid w:val="004339AB"/>
    <w:rsid w:val="00437E96"/>
    <w:rsid w:val="0044007C"/>
    <w:rsid w:val="0044352C"/>
    <w:rsid w:val="00450AAD"/>
    <w:rsid w:val="0045129A"/>
    <w:rsid w:val="004553AE"/>
    <w:rsid w:val="00462AE3"/>
    <w:rsid w:val="00464511"/>
    <w:rsid w:val="00464F5B"/>
    <w:rsid w:val="00470749"/>
    <w:rsid w:val="00470F6A"/>
    <w:rsid w:val="00472E4C"/>
    <w:rsid w:val="0047333B"/>
    <w:rsid w:val="0047353C"/>
    <w:rsid w:val="00475226"/>
    <w:rsid w:val="0047670B"/>
    <w:rsid w:val="00476F86"/>
    <w:rsid w:val="004803D7"/>
    <w:rsid w:val="00480520"/>
    <w:rsid w:val="00480FAB"/>
    <w:rsid w:val="00482C83"/>
    <w:rsid w:val="0049441E"/>
    <w:rsid w:val="00494A26"/>
    <w:rsid w:val="004A151A"/>
    <w:rsid w:val="004A18E6"/>
    <w:rsid w:val="004A4454"/>
    <w:rsid w:val="004A48DD"/>
    <w:rsid w:val="004A4B07"/>
    <w:rsid w:val="004A4D5E"/>
    <w:rsid w:val="004A6D7D"/>
    <w:rsid w:val="004C0C55"/>
    <w:rsid w:val="004C0CF2"/>
    <w:rsid w:val="004C0D58"/>
    <w:rsid w:val="004C2697"/>
    <w:rsid w:val="004C720B"/>
    <w:rsid w:val="004C7DF4"/>
    <w:rsid w:val="004D04B7"/>
    <w:rsid w:val="004D2D4F"/>
    <w:rsid w:val="004D5EA5"/>
    <w:rsid w:val="004E22B4"/>
    <w:rsid w:val="004E2460"/>
    <w:rsid w:val="004E6DD0"/>
    <w:rsid w:val="004E7A50"/>
    <w:rsid w:val="004F0438"/>
    <w:rsid w:val="004F1EA0"/>
    <w:rsid w:val="004F3400"/>
    <w:rsid w:val="004F5A50"/>
    <w:rsid w:val="004F631F"/>
    <w:rsid w:val="005004E2"/>
    <w:rsid w:val="005008BE"/>
    <w:rsid w:val="00501F05"/>
    <w:rsid w:val="005024D4"/>
    <w:rsid w:val="0050382A"/>
    <w:rsid w:val="005063FC"/>
    <w:rsid w:val="005077C5"/>
    <w:rsid w:val="00507D0C"/>
    <w:rsid w:val="00513AF3"/>
    <w:rsid w:val="00514415"/>
    <w:rsid w:val="005145FD"/>
    <w:rsid w:val="005164A3"/>
    <w:rsid w:val="00517351"/>
    <w:rsid w:val="005209FE"/>
    <w:rsid w:val="0052227A"/>
    <w:rsid w:val="005225E2"/>
    <w:rsid w:val="00523BBF"/>
    <w:rsid w:val="0052441C"/>
    <w:rsid w:val="0052716E"/>
    <w:rsid w:val="00527883"/>
    <w:rsid w:val="00527F33"/>
    <w:rsid w:val="00530034"/>
    <w:rsid w:val="00531EAE"/>
    <w:rsid w:val="00534A70"/>
    <w:rsid w:val="005368A6"/>
    <w:rsid w:val="00540054"/>
    <w:rsid w:val="005411BC"/>
    <w:rsid w:val="0054181C"/>
    <w:rsid w:val="00541FB6"/>
    <w:rsid w:val="005428F5"/>
    <w:rsid w:val="00543E44"/>
    <w:rsid w:val="00546EA0"/>
    <w:rsid w:val="00551F71"/>
    <w:rsid w:val="005547F6"/>
    <w:rsid w:val="005658CC"/>
    <w:rsid w:val="005703D2"/>
    <w:rsid w:val="00570FA7"/>
    <w:rsid w:val="00571D05"/>
    <w:rsid w:val="00573999"/>
    <w:rsid w:val="00573B7D"/>
    <w:rsid w:val="00573F97"/>
    <w:rsid w:val="00577105"/>
    <w:rsid w:val="00577683"/>
    <w:rsid w:val="00577E3F"/>
    <w:rsid w:val="005803D0"/>
    <w:rsid w:val="00583D8B"/>
    <w:rsid w:val="00590034"/>
    <w:rsid w:val="00591909"/>
    <w:rsid w:val="0059426A"/>
    <w:rsid w:val="005A65CE"/>
    <w:rsid w:val="005B1898"/>
    <w:rsid w:val="005B1AB2"/>
    <w:rsid w:val="005B2E68"/>
    <w:rsid w:val="005B2FFE"/>
    <w:rsid w:val="005B3EAE"/>
    <w:rsid w:val="005B645B"/>
    <w:rsid w:val="005C0A9C"/>
    <w:rsid w:val="005C0B38"/>
    <w:rsid w:val="005C1BAE"/>
    <w:rsid w:val="005C275C"/>
    <w:rsid w:val="005C3755"/>
    <w:rsid w:val="005C46E3"/>
    <w:rsid w:val="005C496A"/>
    <w:rsid w:val="005C4B15"/>
    <w:rsid w:val="005C7EA8"/>
    <w:rsid w:val="005D2D11"/>
    <w:rsid w:val="005D685D"/>
    <w:rsid w:val="005D6DF6"/>
    <w:rsid w:val="005D74E9"/>
    <w:rsid w:val="005E04FE"/>
    <w:rsid w:val="005E0B8D"/>
    <w:rsid w:val="005E3D97"/>
    <w:rsid w:val="005E66CD"/>
    <w:rsid w:val="005F1D23"/>
    <w:rsid w:val="005F3489"/>
    <w:rsid w:val="005F3C90"/>
    <w:rsid w:val="005F4A63"/>
    <w:rsid w:val="005F689A"/>
    <w:rsid w:val="006003B9"/>
    <w:rsid w:val="00601B14"/>
    <w:rsid w:val="00602D0A"/>
    <w:rsid w:val="0060596A"/>
    <w:rsid w:val="0060649D"/>
    <w:rsid w:val="0060731F"/>
    <w:rsid w:val="00610A6F"/>
    <w:rsid w:val="00612449"/>
    <w:rsid w:val="006125F5"/>
    <w:rsid w:val="00613C1B"/>
    <w:rsid w:val="0061561D"/>
    <w:rsid w:val="006200D4"/>
    <w:rsid w:val="00622107"/>
    <w:rsid w:val="006225A6"/>
    <w:rsid w:val="0062268F"/>
    <w:rsid w:val="00622AFD"/>
    <w:rsid w:val="00626F3E"/>
    <w:rsid w:val="00631037"/>
    <w:rsid w:val="006313EE"/>
    <w:rsid w:val="00631624"/>
    <w:rsid w:val="006402D2"/>
    <w:rsid w:val="00640B10"/>
    <w:rsid w:val="006417E6"/>
    <w:rsid w:val="00643749"/>
    <w:rsid w:val="00644460"/>
    <w:rsid w:val="00644ACE"/>
    <w:rsid w:val="00653411"/>
    <w:rsid w:val="0065436B"/>
    <w:rsid w:val="0065489C"/>
    <w:rsid w:val="00655A91"/>
    <w:rsid w:val="0065661B"/>
    <w:rsid w:val="006570F1"/>
    <w:rsid w:val="00657B5C"/>
    <w:rsid w:val="0066174D"/>
    <w:rsid w:val="00662E60"/>
    <w:rsid w:val="00666FD7"/>
    <w:rsid w:val="00671933"/>
    <w:rsid w:val="006745F8"/>
    <w:rsid w:val="006749B3"/>
    <w:rsid w:val="00675AD9"/>
    <w:rsid w:val="00676ABD"/>
    <w:rsid w:val="00677279"/>
    <w:rsid w:val="006807C9"/>
    <w:rsid w:val="0068109D"/>
    <w:rsid w:val="00686D22"/>
    <w:rsid w:val="00687C57"/>
    <w:rsid w:val="006904C6"/>
    <w:rsid w:val="00690709"/>
    <w:rsid w:val="006962ED"/>
    <w:rsid w:val="006965DF"/>
    <w:rsid w:val="006A0084"/>
    <w:rsid w:val="006A18CF"/>
    <w:rsid w:val="006A1A0B"/>
    <w:rsid w:val="006A2415"/>
    <w:rsid w:val="006A3238"/>
    <w:rsid w:val="006A3BA5"/>
    <w:rsid w:val="006A58C3"/>
    <w:rsid w:val="006B0917"/>
    <w:rsid w:val="006B226A"/>
    <w:rsid w:val="006C1261"/>
    <w:rsid w:val="006C16E6"/>
    <w:rsid w:val="006C16F3"/>
    <w:rsid w:val="006C5070"/>
    <w:rsid w:val="006C6032"/>
    <w:rsid w:val="006C621C"/>
    <w:rsid w:val="006D185F"/>
    <w:rsid w:val="006D25CC"/>
    <w:rsid w:val="006D5FA2"/>
    <w:rsid w:val="006D74E6"/>
    <w:rsid w:val="006E74AD"/>
    <w:rsid w:val="006E74C1"/>
    <w:rsid w:val="006E76A7"/>
    <w:rsid w:val="006F2DF9"/>
    <w:rsid w:val="006F4AB1"/>
    <w:rsid w:val="006F599C"/>
    <w:rsid w:val="006F7F12"/>
    <w:rsid w:val="00700D8D"/>
    <w:rsid w:val="00704618"/>
    <w:rsid w:val="00704ACE"/>
    <w:rsid w:val="00706093"/>
    <w:rsid w:val="0070735E"/>
    <w:rsid w:val="00707C71"/>
    <w:rsid w:val="0071639B"/>
    <w:rsid w:val="0072120E"/>
    <w:rsid w:val="00722177"/>
    <w:rsid w:val="0072446D"/>
    <w:rsid w:val="007254E9"/>
    <w:rsid w:val="00730BD9"/>
    <w:rsid w:val="00730FB2"/>
    <w:rsid w:val="00731132"/>
    <w:rsid w:val="00732DD3"/>
    <w:rsid w:val="0073549D"/>
    <w:rsid w:val="00740468"/>
    <w:rsid w:val="00741A26"/>
    <w:rsid w:val="00741AEB"/>
    <w:rsid w:val="007450C6"/>
    <w:rsid w:val="00751B93"/>
    <w:rsid w:val="00751D29"/>
    <w:rsid w:val="00753C2E"/>
    <w:rsid w:val="00755467"/>
    <w:rsid w:val="00757FD6"/>
    <w:rsid w:val="007602D8"/>
    <w:rsid w:val="00760498"/>
    <w:rsid w:val="00760712"/>
    <w:rsid w:val="007611B5"/>
    <w:rsid w:val="007634AC"/>
    <w:rsid w:val="00764C03"/>
    <w:rsid w:val="00765924"/>
    <w:rsid w:val="007713AC"/>
    <w:rsid w:val="00776F9E"/>
    <w:rsid w:val="00777C29"/>
    <w:rsid w:val="00783134"/>
    <w:rsid w:val="00795922"/>
    <w:rsid w:val="007960F7"/>
    <w:rsid w:val="0079616B"/>
    <w:rsid w:val="00796D94"/>
    <w:rsid w:val="00796F35"/>
    <w:rsid w:val="007A2480"/>
    <w:rsid w:val="007A4A27"/>
    <w:rsid w:val="007A5D7F"/>
    <w:rsid w:val="007A6344"/>
    <w:rsid w:val="007B0D04"/>
    <w:rsid w:val="007B0E9F"/>
    <w:rsid w:val="007B3D17"/>
    <w:rsid w:val="007B4711"/>
    <w:rsid w:val="007C2AE2"/>
    <w:rsid w:val="007C30E8"/>
    <w:rsid w:val="007C3DF2"/>
    <w:rsid w:val="007C5F10"/>
    <w:rsid w:val="007C7D63"/>
    <w:rsid w:val="007C7E59"/>
    <w:rsid w:val="007D141E"/>
    <w:rsid w:val="007D4E87"/>
    <w:rsid w:val="007D5540"/>
    <w:rsid w:val="007D5A4B"/>
    <w:rsid w:val="007D6919"/>
    <w:rsid w:val="007D7BE7"/>
    <w:rsid w:val="007E0A81"/>
    <w:rsid w:val="007E4CA9"/>
    <w:rsid w:val="007F0319"/>
    <w:rsid w:val="007F106B"/>
    <w:rsid w:val="007F1C36"/>
    <w:rsid w:val="007F237F"/>
    <w:rsid w:val="007F315E"/>
    <w:rsid w:val="007F3598"/>
    <w:rsid w:val="008002C0"/>
    <w:rsid w:val="00801156"/>
    <w:rsid w:val="008055CF"/>
    <w:rsid w:val="00805C12"/>
    <w:rsid w:val="00812C48"/>
    <w:rsid w:val="008174C4"/>
    <w:rsid w:val="00822A6C"/>
    <w:rsid w:val="00822EDD"/>
    <w:rsid w:val="0082595C"/>
    <w:rsid w:val="00827196"/>
    <w:rsid w:val="0082793D"/>
    <w:rsid w:val="0083456E"/>
    <w:rsid w:val="00835DA3"/>
    <w:rsid w:val="00837EE7"/>
    <w:rsid w:val="00837FEC"/>
    <w:rsid w:val="00845DFF"/>
    <w:rsid w:val="00845E76"/>
    <w:rsid w:val="00846E29"/>
    <w:rsid w:val="008470AD"/>
    <w:rsid w:val="00850606"/>
    <w:rsid w:val="00852E23"/>
    <w:rsid w:val="008569A7"/>
    <w:rsid w:val="0085751D"/>
    <w:rsid w:val="00860506"/>
    <w:rsid w:val="00861394"/>
    <w:rsid w:val="008618CC"/>
    <w:rsid w:val="00864FBD"/>
    <w:rsid w:val="00866DA4"/>
    <w:rsid w:val="00867F09"/>
    <w:rsid w:val="00872B8D"/>
    <w:rsid w:val="00880701"/>
    <w:rsid w:val="00880A29"/>
    <w:rsid w:val="0088194C"/>
    <w:rsid w:val="0088342F"/>
    <w:rsid w:val="00885DA1"/>
    <w:rsid w:val="00886505"/>
    <w:rsid w:val="008874C6"/>
    <w:rsid w:val="008929D9"/>
    <w:rsid w:val="008A01F9"/>
    <w:rsid w:val="008A502D"/>
    <w:rsid w:val="008B17A6"/>
    <w:rsid w:val="008B1954"/>
    <w:rsid w:val="008B5F81"/>
    <w:rsid w:val="008B6473"/>
    <w:rsid w:val="008B6B21"/>
    <w:rsid w:val="008B7262"/>
    <w:rsid w:val="008C5B5F"/>
    <w:rsid w:val="008C5E64"/>
    <w:rsid w:val="008C5F32"/>
    <w:rsid w:val="008C6B2E"/>
    <w:rsid w:val="008D2441"/>
    <w:rsid w:val="008D46EE"/>
    <w:rsid w:val="008D6571"/>
    <w:rsid w:val="008D6C09"/>
    <w:rsid w:val="008E24DD"/>
    <w:rsid w:val="008E4800"/>
    <w:rsid w:val="008E5345"/>
    <w:rsid w:val="008E66DB"/>
    <w:rsid w:val="008E6D69"/>
    <w:rsid w:val="008E776F"/>
    <w:rsid w:val="008F1547"/>
    <w:rsid w:val="008F395E"/>
    <w:rsid w:val="008F3DE9"/>
    <w:rsid w:val="008F55CA"/>
    <w:rsid w:val="008F58F3"/>
    <w:rsid w:val="008F5D1B"/>
    <w:rsid w:val="00900F7D"/>
    <w:rsid w:val="009010AA"/>
    <w:rsid w:val="00903948"/>
    <w:rsid w:val="009047CE"/>
    <w:rsid w:val="00904948"/>
    <w:rsid w:val="009118C8"/>
    <w:rsid w:val="00911E8E"/>
    <w:rsid w:val="00912145"/>
    <w:rsid w:val="00913873"/>
    <w:rsid w:val="00916DB0"/>
    <w:rsid w:val="0092239C"/>
    <w:rsid w:val="009244B2"/>
    <w:rsid w:val="0092557B"/>
    <w:rsid w:val="0093141A"/>
    <w:rsid w:val="00931525"/>
    <w:rsid w:val="009371D3"/>
    <w:rsid w:val="00941DD3"/>
    <w:rsid w:val="00945AF0"/>
    <w:rsid w:val="009460E3"/>
    <w:rsid w:val="00947AE9"/>
    <w:rsid w:val="009501DB"/>
    <w:rsid w:val="00951813"/>
    <w:rsid w:val="00952B14"/>
    <w:rsid w:val="00953FCE"/>
    <w:rsid w:val="0095412F"/>
    <w:rsid w:val="009603F9"/>
    <w:rsid w:val="00971C06"/>
    <w:rsid w:val="00972F39"/>
    <w:rsid w:val="00973625"/>
    <w:rsid w:val="00974F5A"/>
    <w:rsid w:val="00975662"/>
    <w:rsid w:val="00975D2B"/>
    <w:rsid w:val="00976286"/>
    <w:rsid w:val="00976791"/>
    <w:rsid w:val="00985EDC"/>
    <w:rsid w:val="0098664F"/>
    <w:rsid w:val="00992205"/>
    <w:rsid w:val="00993220"/>
    <w:rsid w:val="00994B24"/>
    <w:rsid w:val="00995D47"/>
    <w:rsid w:val="00995D68"/>
    <w:rsid w:val="009A01F3"/>
    <w:rsid w:val="009A1A5D"/>
    <w:rsid w:val="009A1B0A"/>
    <w:rsid w:val="009A4ED7"/>
    <w:rsid w:val="009A7310"/>
    <w:rsid w:val="009A7A34"/>
    <w:rsid w:val="009B10B6"/>
    <w:rsid w:val="009B1493"/>
    <w:rsid w:val="009B222E"/>
    <w:rsid w:val="009B3BE6"/>
    <w:rsid w:val="009B4858"/>
    <w:rsid w:val="009B59C9"/>
    <w:rsid w:val="009B6E36"/>
    <w:rsid w:val="009C1DD6"/>
    <w:rsid w:val="009C24BB"/>
    <w:rsid w:val="009C6208"/>
    <w:rsid w:val="009D3D3D"/>
    <w:rsid w:val="009D5E5D"/>
    <w:rsid w:val="009E0A00"/>
    <w:rsid w:val="009E0C2C"/>
    <w:rsid w:val="009E4356"/>
    <w:rsid w:val="009E79DB"/>
    <w:rsid w:val="009F036C"/>
    <w:rsid w:val="009F1359"/>
    <w:rsid w:val="009F1925"/>
    <w:rsid w:val="009F5B2F"/>
    <w:rsid w:val="009F5C8E"/>
    <w:rsid w:val="009F6000"/>
    <w:rsid w:val="009F65AF"/>
    <w:rsid w:val="00A016D1"/>
    <w:rsid w:val="00A01749"/>
    <w:rsid w:val="00A10600"/>
    <w:rsid w:val="00A10D1C"/>
    <w:rsid w:val="00A117F4"/>
    <w:rsid w:val="00A11BCF"/>
    <w:rsid w:val="00A11E23"/>
    <w:rsid w:val="00A1349C"/>
    <w:rsid w:val="00A13784"/>
    <w:rsid w:val="00A15A1F"/>
    <w:rsid w:val="00A166E5"/>
    <w:rsid w:val="00A2036A"/>
    <w:rsid w:val="00A2107A"/>
    <w:rsid w:val="00A237C0"/>
    <w:rsid w:val="00A24AC8"/>
    <w:rsid w:val="00A30937"/>
    <w:rsid w:val="00A3612F"/>
    <w:rsid w:val="00A37141"/>
    <w:rsid w:val="00A42669"/>
    <w:rsid w:val="00A43018"/>
    <w:rsid w:val="00A4549D"/>
    <w:rsid w:val="00A50235"/>
    <w:rsid w:val="00A50E5B"/>
    <w:rsid w:val="00A52A52"/>
    <w:rsid w:val="00A537CA"/>
    <w:rsid w:val="00A571FB"/>
    <w:rsid w:val="00A6189F"/>
    <w:rsid w:val="00A62164"/>
    <w:rsid w:val="00A636BA"/>
    <w:rsid w:val="00A66995"/>
    <w:rsid w:val="00A66B5A"/>
    <w:rsid w:val="00A74A52"/>
    <w:rsid w:val="00A75326"/>
    <w:rsid w:val="00A77F50"/>
    <w:rsid w:val="00A8561B"/>
    <w:rsid w:val="00A86CB5"/>
    <w:rsid w:val="00A91A1B"/>
    <w:rsid w:val="00A93847"/>
    <w:rsid w:val="00A94029"/>
    <w:rsid w:val="00A96C43"/>
    <w:rsid w:val="00A96CE3"/>
    <w:rsid w:val="00A96D13"/>
    <w:rsid w:val="00AA0E30"/>
    <w:rsid w:val="00AA0F69"/>
    <w:rsid w:val="00AA3A6B"/>
    <w:rsid w:val="00AB2AFF"/>
    <w:rsid w:val="00AB3DEF"/>
    <w:rsid w:val="00AB5E77"/>
    <w:rsid w:val="00AB6484"/>
    <w:rsid w:val="00AC0CB9"/>
    <w:rsid w:val="00AC1247"/>
    <w:rsid w:val="00AC252C"/>
    <w:rsid w:val="00AC2DBD"/>
    <w:rsid w:val="00AC353F"/>
    <w:rsid w:val="00AC71CC"/>
    <w:rsid w:val="00AD1433"/>
    <w:rsid w:val="00AD224A"/>
    <w:rsid w:val="00AE50F0"/>
    <w:rsid w:val="00AE5927"/>
    <w:rsid w:val="00AE5F81"/>
    <w:rsid w:val="00AF1EF3"/>
    <w:rsid w:val="00AF2830"/>
    <w:rsid w:val="00AF34EE"/>
    <w:rsid w:val="00AF7A2A"/>
    <w:rsid w:val="00B00B23"/>
    <w:rsid w:val="00B03D63"/>
    <w:rsid w:val="00B06997"/>
    <w:rsid w:val="00B078C5"/>
    <w:rsid w:val="00B12FE3"/>
    <w:rsid w:val="00B142BD"/>
    <w:rsid w:val="00B212A1"/>
    <w:rsid w:val="00B21D46"/>
    <w:rsid w:val="00B22E6F"/>
    <w:rsid w:val="00B252D7"/>
    <w:rsid w:val="00B25AA3"/>
    <w:rsid w:val="00B26BB6"/>
    <w:rsid w:val="00B272CC"/>
    <w:rsid w:val="00B305BE"/>
    <w:rsid w:val="00B35D68"/>
    <w:rsid w:val="00B4086C"/>
    <w:rsid w:val="00B43319"/>
    <w:rsid w:val="00B438F0"/>
    <w:rsid w:val="00B442BB"/>
    <w:rsid w:val="00B4471D"/>
    <w:rsid w:val="00B458E3"/>
    <w:rsid w:val="00B45DCD"/>
    <w:rsid w:val="00B462F1"/>
    <w:rsid w:val="00B471BE"/>
    <w:rsid w:val="00B518A9"/>
    <w:rsid w:val="00B55548"/>
    <w:rsid w:val="00B55817"/>
    <w:rsid w:val="00B55F41"/>
    <w:rsid w:val="00B5722D"/>
    <w:rsid w:val="00B66035"/>
    <w:rsid w:val="00B66D97"/>
    <w:rsid w:val="00B7315E"/>
    <w:rsid w:val="00B73B6C"/>
    <w:rsid w:val="00B73B7C"/>
    <w:rsid w:val="00B76964"/>
    <w:rsid w:val="00B769EA"/>
    <w:rsid w:val="00B77792"/>
    <w:rsid w:val="00B8277A"/>
    <w:rsid w:val="00B83DE1"/>
    <w:rsid w:val="00B87DEB"/>
    <w:rsid w:val="00B93CFD"/>
    <w:rsid w:val="00BA1A34"/>
    <w:rsid w:val="00BA2C28"/>
    <w:rsid w:val="00BA57EE"/>
    <w:rsid w:val="00BB0CD6"/>
    <w:rsid w:val="00BB0CF0"/>
    <w:rsid w:val="00BB36FE"/>
    <w:rsid w:val="00BB3C7D"/>
    <w:rsid w:val="00BB4294"/>
    <w:rsid w:val="00BB54CA"/>
    <w:rsid w:val="00BB5BF0"/>
    <w:rsid w:val="00BC3BA7"/>
    <w:rsid w:val="00BC4DC9"/>
    <w:rsid w:val="00BC592C"/>
    <w:rsid w:val="00BC5E1F"/>
    <w:rsid w:val="00BC7526"/>
    <w:rsid w:val="00BD2AF5"/>
    <w:rsid w:val="00BD6257"/>
    <w:rsid w:val="00BD6B2E"/>
    <w:rsid w:val="00BD6F00"/>
    <w:rsid w:val="00BD740E"/>
    <w:rsid w:val="00BD7510"/>
    <w:rsid w:val="00BD7DC5"/>
    <w:rsid w:val="00BE06E5"/>
    <w:rsid w:val="00BE08DB"/>
    <w:rsid w:val="00BE0AAA"/>
    <w:rsid w:val="00BE2485"/>
    <w:rsid w:val="00BE2A58"/>
    <w:rsid w:val="00BE4F9A"/>
    <w:rsid w:val="00BE7460"/>
    <w:rsid w:val="00BF0CEB"/>
    <w:rsid w:val="00BF206F"/>
    <w:rsid w:val="00BF393F"/>
    <w:rsid w:val="00BF63AF"/>
    <w:rsid w:val="00BF6922"/>
    <w:rsid w:val="00BF7919"/>
    <w:rsid w:val="00C046A9"/>
    <w:rsid w:val="00C06BB4"/>
    <w:rsid w:val="00C06D05"/>
    <w:rsid w:val="00C21EF3"/>
    <w:rsid w:val="00C26E41"/>
    <w:rsid w:val="00C3155F"/>
    <w:rsid w:val="00C31CAD"/>
    <w:rsid w:val="00C32CFE"/>
    <w:rsid w:val="00C33950"/>
    <w:rsid w:val="00C3650C"/>
    <w:rsid w:val="00C42C34"/>
    <w:rsid w:val="00C43A23"/>
    <w:rsid w:val="00C4484C"/>
    <w:rsid w:val="00C46FA2"/>
    <w:rsid w:val="00C47AD9"/>
    <w:rsid w:val="00C5048D"/>
    <w:rsid w:val="00C53238"/>
    <w:rsid w:val="00C54D42"/>
    <w:rsid w:val="00C554E6"/>
    <w:rsid w:val="00C55669"/>
    <w:rsid w:val="00C55724"/>
    <w:rsid w:val="00C57BB3"/>
    <w:rsid w:val="00C670A7"/>
    <w:rsid w:val="00C73CE0"/>
    <w:rsid w:val="00C74BF1"/>
    <w:rsid w:val="00C758F1"/>
    <w:rsid w:val="00C83402"/>
    <w:rsid w:val="00C86956"/>
    <w:rsid w:val="00C90737"/>
    <w:rsid w:val="00C9117C"/>
    <w:rsid w:val="00C9150B"/>
    <w:rsid w:val="00C9256B"/>
    <w:rsid w:val="00C941A2"/>
    <w:rsid w:val="00C96234"/>
    <w:rsid w:val="00C97C59"/>
    <w:rsid w:val="00CA4D1D"/>
    <w:rsid w:val="00CA63D1"/>
    <w:rsid w:val="00CA7A95"/>
    <w:rsid w:val="00CB11EE"/>
    <w:rsid w:val="00CB129A"/>
    <w:rsid w:val="00CB17C4"/>
    <w:rsid w:val="00CB523A"/>
    <w:rsid w:val="00CB7DD3"/>
    <w:rsid w:val="00CC4825"/>
    <w:rsid w:val="00CC4AD3"/>
    <w:rsid w:val="00CC4E1B"/>
    <w:rsid w:val="00CC585B"/>
    <w:rsid w:val="00CC7BC8"/>
    <w:rsid w:val="00CC7C7C"/>
    <w:rsid w:val="00CD5CB1"/>
    <w:rsid w:val="00CE10D6"/>
    <w:rsid w:val="00CE5CDA"/>
    <w:rsid w:val="00CF0A08"/>
    <w:rsid w:val="00CF176F"/>
    <w:rsid w:val="00CF4A44"/>
    <w:rsid w:val="00CF61FB"/>
    <w:rsid w:val="00CF707D"/>
    <w:rsid w:val="00D02A5B"/>
    <w:rsid w:val="00D05E79"/>
    <w:rsid w:val="00D10816"/>
    <w:rsid w:val="00D11105"/>
    <w:rsid w:val="00D1119E"/>
    <w:rsid w:val="00D1286F"/>
    <w:rsid w:val="00D131FD"/>
    <w:rsid w:val="00D14441"/>
    <w:rsid w:val="00D15A2C"/>
    <w:rsid w:val="00D15BC4"/>
    <w:rsid w:val="00D17122"/>
    <w:rsid w:val="00D20785"/>
    <w:rsid w:val="00D2170D"/>
    <w:rsid w:val="00D21D80"/>
    <w:rsid w:val="00D238D2"/>
    <w:rsid w:val="00D2500C"/>
    <w:rsid w:val="00D25ECD"/>
    <w:rsid w:val="00D308A4"/>
    <w:rsid w:val="00D31AB0"/>
    <w:rsid w:val="00D3256E"/>
    <w:rsid w:val="00D3636E"/>
    <w:rsid w:val="00D368E5"/>
    <w:rsid w:val="00D37CCC"/>
    <w:rsid w:val="00D406EC"/>
    <w:rsid w:val="00D42A23"/>
    <w:rsid w:val="00D42CC4"/>
    <w:rsid w:val="00D60462"/>
    <w:rsid w:val="00D606C3"/>
    <w:rsid w:val="00D60D52"/>
    <w:rsid w:val="00D61963"/>
    <w:rsid w:val="00D62BB6"/>
    <w:rsid w:val="00D63966"/>
    <w:rsid w:val="00D64B89"/>
    <w:rsid w:val="00D66562"/>
    <w:rsid w:val="00D67215"/>
    <w:rsid w:val="00D7239A"/>
    <w:rsid w:val="00D76518"/>
    <w:rsid w:val="00D82546"/>
    <w:rsid w:val="00D82562"/>
    <w:rsid w:val="00D82AE7"/>
    <w:rsid w:val="00D83A30"/>
    <w:rsid w:val="00D83EB5"/>
    <w:rsid w:val="00D840F1"/>
    <w:rsid w:val="00D84F5F"/>
    <w:rsid w:val="00D85539"/>
    <w:rsid w:val="00D85805"/>
    <w:rsid w:val="00D867EA"/>
    <w:rsid w:val="00D867EB"/>
    <w:rsid w:val="00D8710C"/>
    <w:rsid w:val="00D9109D"/>
    <w:rsid w:val="00D91181"/>
    <w:rsid w:val="00D91696"/>
    <w:rsid w:val="00D916A0"/>
    <w:rsid w:val="00D92F0B"/>
    <w:rsid w:val="00D945D9"/>
    <w:rsid w:val="00D947DA"/>
    <w:rsid w:val="00D95641"/>
    <w:rsid w:val="00D95827"/>
    <w:rsid w:val="00DA2F5C"/>
    <w:rsid w:val="00DA37FB"/>
    <w:rsid w:val="00DA5045"/>
    <w:rsid w:val="00DA570D"/>
    <w:rsid w:val="00DA58FA"/>
    <w:rsid w:val="00DA663A"/>
    <w:rsid w:val="00DA6C2D"/>
    <w:rsid w:val="00DA762E"/>
    <w:rsid w:val="00DB337B"/>
    <w:rsid w:val="00DB3EDF"/>
    <w:rsid w:val="00DB4E5C"/>
    <w:rsid w:val="00DC0292"/>
    <w:rsid w:val="00DC2CDF"/>
    <w:rsid w:val="00DC4063"/>
    <w:rsid w:val="00DC5AB3"/>
    <w:rsid w:val="00DC608F"/>
    <w:rsid w:val="00DD0861"/>
    <w:rsid w:val="00DD36BA"/>
    <w:rsid w:val="00DD4365"/>
    <w:rsid w:val="00DE32A7"/>
    <w:rsid w:val="00DF03E8"/>
    <w:rsid w:val="00DF23B6"/>
    <w:rsid w:val="00DF25D7"/>
    <w:rsid w:val="00DF2E0A"/>
    <w:rsid w:val="00DF7E4A"/>
    <w:rsid w:val="00E0097A"/>
    <w:rsid w:val="00E017B2"/>
    <w:rsid w:val="00E065FF"/>
    <w:rsid w:val="00E06E92"/>
    <w:rsid w:val="00E10013"/>
    <w:rsid w:val="00E124A2"/>
    <w:rsid w:val="00E134E6"/>
    <w:rsid w:val="00E16875"/>
    <w:rsid w:val="00E174B4"/>
    <w:rsid w:val="00E20DE3"/>
    <w:rsid w:val="00E21EF0"/>
    <w:rsid w:val="00E22FCB"/>
    <w:rsid w:val="00E23B5D"/>
    <w:rsid w:val="00E25BA1"/>
    <w:rsid w:val="00E26C63"/>
    <w:rsid w:val="00E30E4A"/>
    <w:rsid w:val="00E316FF"/>
    <w:rsid w:val="00E3358F"/>
    <w:rsid w:val="00E36933"/>
    <w:rsid w:val="00E417C4"/>
    <w:rsid w:val="00E42743"/>
    <w:rsid w:val="00E438CF"/>
    <w:rsid w:val="00E440B1"/>
    <w:rsid w:val="00E52C5F"/>
    <w:rsid w:val="00E54CCC"/>
    <w:rsid w:val="00E552A0"/>
    <w:rsid w:val="00E554C8"/>
    <w:rsid w:val="00E56CBE"/>
    <w:rsid w:val="00E57AC1"/>
    <w:rsid w:val="00E608E7"/>
    <w:rsid w:val="00E61BA4"/>
    <w:rsid w:val="00E62722"/>
    <w:rsid w:val="00E63CB2"/>
    <w:rsid w:val="00E65490"/>
    <w:rsid w:val="00E71399"/>
    <w:rsid w:val="00E75CDE"/>
    <w:rsid w:val="00E763FC"/>
    <w:rsid w:val="00E8170A"/>
    <w:rsid w:val="00E81995"/>
    <w:rsid w:val="00E83486"/>
    <w:rsid w:val="00E86767"/>
    <w:rsid w:val="00E87F23"/>
    <w:rsid w:val="00E90A3B"/>
    <w:rsid w:val="00E91788"/>
    <w:rsid w:val="00E94B73"/>
    <w:rsid w:val="00E94BE6"/>
    <w:rsid w:val="00E96E0F"/>
    <w:rsid w:val="00E97F92"/>
    <w:rsid w:val="00EA00BD"/>
    <w:rsid w:val="00EA0DF8"/>
    <w:rsid w:val="00EA2094"/>
    <w:rsid w:val="00EA7531"/>
    <w:rsid w:val="00EB0068"/>
    <w:rsid w:val="00EB3289"/>
    <w:rsid w:val="00EB6E96"/>
    <w:rsid w:val="00EC055F"/>
    <w:rsid w:val="00EC22A9"/>
    <w:rsid w:val="00EC44BF"/>
    <w:rsid w:val="00EC4A1B"/>
    <w:rsid w:val="00EC4EAB"/>
    <w:rsid w:val="00EC4EF8"/>
    <w:rsid w:val="00EC5613"/>
    <w:rsid w:val="00EC7CFC"/>
    <w:rsid w:val="00ED0A6D"/>
    <w:rsid w:val="00ED58F9"/>
    <w:rsid w:val="00ED6280"/>
    <w:rsid w:val="00ED6958"/>
    <w:rsid w:val="00ED6FF3"/>
    <w:rsid w:val="00EE412E"/>
    <w:rsid w:val="00EE5B8B"/>
    <w:rsid w:val="00EE5D27"/>
    <w:rsid w:val="00EE649D"/>
    <w:rsid w:val="00EE69A4"/>
    <w:rsid w:val="00EF09E7"/>
    <w:rsid w:val="00EF64C4"/>
    <w:rsid w:val="00EF7998"/>
    <w:rsid w:val="00EF7CE1"/>
    <w:rsid w:val="00F01D75"/>
    <w:rsid w:val="00F028FD"/>
    <w:rsid w:val="00F05472"/>
    <w:rsid w:val="00F05F74"/>
    <w:rsid w:val="00F0686D"/>
    <w:rsid w:val="00F06B5D"/>
    <w:rsid w:val="00F07178"/>
    <w:rsid w:val="00F1024E"/>
    <w:rsid w:val="00F1170E"/>
    <w:rsid w:val="00F14A46"/>
    <w:rsid w:val="00F14C07"/>
    <w:rsid w:val="00F14CB5"/>
    <w:rsid w:val="00F205B6"/>
    <w:rsid w:val="00F2061E"/>
    <w:rsid w:val="00F21EA3"/>
    <w:rsid w:val="00F23F17"/>
    <w:rsid w:val="00F25531"/>
    <w:rsid w:val="00F256F7"/>
    <w:rsid w:val="00F258C2"/>
    <w:rsid w:val="00F2674A"/>
    <w:rsid w:val="00F3081A"/>
    <w:rsid w:val="00F3428C"/>
    <w:rsid w:val="00F3439C"/>
    <w:rsid w:val="00F35261"/>
    <w:rsid w:val="00F37312"/>
    <w:rsid w:val="00F42C14"/>
    <w:rsid w:val="00F4443B"/>
    <w:rsid w:val="00F53EC9"/>
    <w:rsid w:val="00F558FF"/>
    <w:rsid w:val="00F61676"/>
    <w:rsid w:val="00F61B41"/>
    <w:rsid w:val="00F61C0B"/>
    <w:rsid w:val="00F713BD"/>
    <w:rsid w:val="00F7184B"/>
    <w:rsid w:val="00F75FE0"/>
    <w:rsid w:val="00F81CB1"/>
    <w:rsid w:val="00F836F2"/>
    <w:rsid w:val="00F83E9D"/>
    <w:rsid w:val="00F84B16"/>
    <w:rsid w:val="00F86B32"/>
    <w:rsid w:val="00F87505"/>
    <w:rsid w:val="00F91ABD"/>
    <w:rsid w:val="00F91EAF"/>
    <w:rsid w:val="00F92187"/>
    <w:rsid w:val="00F941C9"/>
    <w:rsid w:val="00FA0420"/>
    <w:rsid w:val="00FA098A"/>
    <w:rsid w:val="00FA2501"/>
    <w:rsid w:val="00FA5E57"/>
    <w:rsid w:val="00FB012C"/>
    <w:rsid w:val="00FB18C7"/>
    <w:rsid w:val="00FB2900"/>
    <w:rsid w:val="00FB3F2B"/>
    <w:rsid w:val="00FB5ACC"/>
    <w:rsid w:val="00FB75CF"/>
    <w:rsid w:val="00FC2785"/>
    <w:rsid w:val="00FC3613"/>
    <w:rsid w:val="00FD08D8"/>
    <w:rsid w:val="00FD1E44"/>
    <w:rsid w:val="00FD222E"/>
    <w:rsid w:val="00FD2BC0"/>
    <w:rsid w:val="00FD56DA"/>
    <w:rsid w:val="00FD6D2A"/>
    <w:rsid w:val="00FE26EE"/>
    <w:rsid w:val="00FE4384"/>
    <w:rsid w:val="00FE799D"/>
    <w:rsid w:val="00FF20AB"/>
    <w:rsid w:val="00FF20B4"/>
    <w:rsid w:val="00FF5D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BA479"/>
  <w15:docId w15:val="{86D58DE9-CEC9-4374-8A49-794D92B3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F8D"/>
  </w:style>
  <w:style w:type="paragraph" w:styleId="Heading1">
    <w:name w:val="heading 1"/>
    <w:basedOn w:val="Normal"/>
    <w:next w:val="Normal"/>
    <w:link w:val="Heading1Char"/>
    <w:uiPriority w:val="9"/>
    <w:qFormat/>
    <w:rsid w:val="00EA0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39A"/>
    <w:pPr>
      <w:keepNext/>
      <w:keepLines/>
      <w:spacing w:before="200" w:after="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7239A"/>
    <w:pPr>
      <w:keepNext/>
      <w:keepLines/>
      <w:spacing w:before="200" w:after="6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1D6F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6F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6F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6F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6F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D6F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text"/>
    <w:rsid w:val="002D0B64"/>
    <w:pPr>
      <w:spacing w:after="0"/>
    </w:pPr>
    <w:rPr>
      <w:noProof/>
    </w:rPr>
  </w:style>
  <w:style w:type="paragraph" w:styleId="Footer">
    <w:name w:val="footer"/>
    <w:rsid w:val="002D0B64"/>
    <w:pPr>
      <w:spacing w:line="200" w:lineRule="exact"/>
    </w:pPr>
    <w:rPr>
      <w:noProof/>
      <w:sz w:val="16"/>
      <w:szCs w:val="24"/>
      <w:lang w:eastAsia="sv-SE"/>
    </w:rPr>
  </w:style>
  <w:style w:type="character" w:styleId="PageNumber">
    <w:name w:val="page number"/>
    <w:basedOn w:val="DefaultParagraphFont"/>
    <w:rsid w:val="00B26BB6"/>
  </w:style>
  <w:style w:type="table" w:styleId="TableGrid">
    <w:name w:val="Table Grid"/>
    <w:basedOn w:val="TableNorma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174C4"/>
    <w:pPr>
      <w:spacing w:after="260" w:line="260" w:lineRule="atLeast"/>
    </w:pPr>
    <w:rPr>
      <w:szCs w:val="24"/>
      <w:lang w:eastAsia="zh-CN"/>
    </w:rPr>
  </w:style>
  <w:style w:type="paragraph" w:customStyle="1" w:styleId="Adress">
    <w:name w:val="Adress"/>
    <w:basedOn w:val="Normaltext"/>
    <w:rsid w:val="006402D2"/>
    <w:pPr>
      <w:spacing w:after="0" w:line="240" w:lineRule="auto"/>
    </w:pPr>
    <w:rPr>
      <w:noProof/>
    </w:rPr>
  </w:style>
  <w:style w:type="paragraph" w:styleId="ListBullet">
    <w:name w:val="List Bullet"/>
    <w:basedOn w:val="Normaltext"/>
    <w:rsid w:val="008174C4"/>
    <w:pPr>
      <w:numPr>
        <w:numId w:val="2"/>
      </w:numPr>
      <w:spacing w:before="80" w:after="80" w:line="240" w:lineRule="auto"/>
    </w:pPr>
  </w:style>
  <w:style w:type="paragraph" w:styleId="ListNumber">
    <w:name w:val="List Number"/>
    <w:basedOn w:val="Normaltext"/>
    <w:rsid w:val="008174C4"/>
    <w:pPr>
      <w:numPr>
        <w:numId w:val="3"/>
      </w:numPr>
      <w:spacing w:before="80" w:after="80" w:line="240" w:lineRule="auto"/>
    </w:pPr>
  </w:style>
  <w:style w:type="paragraph" w:customStyle="1" w:styleId="Paragraf">
    <w:name w:val="Paragraf"/>
    <w:basedOn w:val="ListNumber"/>
    <w:rsid w:val="00B769EA"/>
    <w:pPr>
      <w:numPr>
        <w:numId w:val="1"/>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Header"/>
    <w:rsid w:val="00E554C8"/>
    <w:pPr>
      <w:spacing w:after="120" w:line="240" w:lineRule="auto"/>
    </w:pPr>
  </w:style>
  <w:style w:type="character" w:customStyle="1" w:styleId="Heading1Char">
    <w:name w:val="Heading 1 Char"/>
    <w:basedOn w:val="DefaultParagraphFont"/>
    <w:link w:val="Heading1"/>
    <w:uiPriority w:val="9"/>
    <w:rsid w:val="00EA00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39A"/>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D7239A"/>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rsid w:val="00BC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7526"/>
    <w:rPr>
      <w:rFonts w:ascii="Tahoma" w:hAnsi="Tahoma" w:cs="Tahoma"/>
      <w:sz w:val="16"/>
      <w:szCs w:val="16"/>
      <w:lang w:eastAsia="sv-SE"/>
    </w:rPr>
  </w:style>
  <w:style w:type="character" w:styleId="Strong">
    <w:name w:val="Strong"/>
    <w:basedOn w:val="DefaultParagraphFont"/>
    <w:uiPriority w:val="22"/>
    <w:qFormat/>
    <w:rsid w:val="001D6F8D"/>
    <w:rPr>
      <w:b/>
      <w:bCs/>
    </w:rPr>
  </w:style>
  <w:style w:type="character" w:customStyle="1" w:styleId="Heading4Char">
    <w:name w:val="Heading 4 Char"/>
    <w:basedOn w:val="DefaultParagraphFont"/>
    <w:link w:val="Heading4"/>
    <w:uiPriority w:val="9"/>
    <w:rsid w:val="001D6F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6F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6F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6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6F8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D6F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6F8D"/>
    <w:pPr>
      <w:spacing w:line="240" w:lineRule="auto"/>
    </w:pPr>
    <w:rPr>
      <w:b/>
      <w:bCs/>
      <w:color w:val="4F81BD" w:themeColor="accent1"/>
      <w:sz w:val="18"/>
      <w:szCs w:val="18"/>
    </w:rPr>
  </w:style>
  <w:style w:type="paragraph" w:styleId="Title">
    <w:name w:val="Title"/>
    <w:basedOn w:val="Normal"/>
    <w:next w:val="Normal"/>
    <w:link w:val="TitleChar"/>
    <w:uiPriority w:val="10"/>
    <w:qFormat/>
    <w:rsid w:val="001D6F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F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6F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6F8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D6F8D"/>
    <w:rPr>
      <w:i/>
      <w:iCs/>
    </w:rPr>
  </w:style>
  <w:style w:type="paragraph" w:styleId="NoSpacing">
    <w:name w:val="No Spacing"/>
    <w:link w:val="NoSpacingChar"/>
    <w:uiPriority w:val="1"/>
    <w:qFormat/>
    <w:rsid w:val="001D6F8D"/>
    <w:pPr>
      <w:spacing w:after="0" w:line="240" w:lineRule="auto"/>
    </w:pPr>
  </w:style>
  <w:style w:type="paragraph" w:styleId="ListParagraph">
    <w:name w:val="List Paragraph"/>
    <w:basedOn w:val="Normal"/>
    <w:uiPriority w:val="34"/>
    <w:qFormat/>
    <w:rsid w:val="001D6F8D"/>
    <w:pPr>
      <w:ind w:left="720"/>
      <w:contextualSpacing/>
    </w:pPr>
  </w:style>
  <w:style w:type="paragraph" w:styleId="Quote">
    <w:name w:val="Quote"/>
    <w:basedOn w:val="Normal"/>
    <w:next w:val="Normal"/>
    <w:link w:val="QuoteChar"/>
    <w:uiPriority w:val="29"/>
    <w:qFormat/>
    <w:rsid w:val="001D6F8D"/>
    <w:rPr>
      <w:i/>
      <w:iCs/>
      <w:color w:val="000000" w:themeColor="text1"/>
    </w:rPr>
  </w:style>
  <w:style w:type="character" w:customStyle="1" w:styleId="QuoteChar">
    <w:name w:val="Quote Char"/>
    <w:basedOn w:val="DefaultParagraphFont"/>
    <w:link w:val="Quote"/>
    <w:uiPriority w:val="29"/>
    <w:rsid w:val="001D6F8D"/>
    <w:rPr>
      <w:i/>
      <w:iCs/>
      <w:color w:val="000000" w:themeColor="text1"/>
    </w:rPr>
  </w:style>
  <w:style w:type="paragraph" w:styleId="IntenseQuote">
    <w:name w:val="Intense Quote"/>
    <w:basedOn w:val="Normal"/>
    <w:next w:val="Normal"/>
    <w:link w:val="IntenseQuoteChar"/>
    <w:uiPriority w:val="30"/>
    <w:qFormat/>
    <w:rsid w:val="001D6F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F8D"/>
    <w:rPr>
      <w:b/>
      <w:bCs/>
      <w:i/>
      <w:iCs/>
      <w:color w:val="4F81BD" w:themeColor="accent1"/>
    </w:rPr>
  </w:style>
  <w:style w:type="character" w:styleId="SubtleEmphasis">
    <w:name w:val="Subtle Emphasis"/>
    <w:basedOn w:val="DefaultParagraphFont"/>
    <w:uiPriority w:val="19"/>
    <w:qFormat/>
    <w:rsid w:val="001D6F8D"/>
    <w:rPr>
      <w:i/>
      <w:iCs/>
      <w:color w:val="808080" w:themeColor="text1" w:themeTint="7F"/>
    </w:rPr>
  </w:style>
  <w:style w:type="character" w:styleId="IntenseEmphasis">
    <w:name w:val="Intense Emphasis"/>
    <w:basedOn w:val="DefaultParagraphFont"/>
    <w:uiPriority w:val="21"/>
    <w:qFormat/>
    <w:rsid w:val="001D6F8D"/>
    <w:rPr>
      <w:b/>
      <w:bCs/>
      <w:i/>
      <w:iCs/>
      <w:color w:val="4F81BD" w:themeColor="accent1"/>
    </w:rPr>
  </w:style>
  <w:style w:type="character" w:styleId="SubtleReference">
    <w:name w:val="Subtle Reference"/>
    <w:basedOn w:val="DefaultParagraphFont"/>
    <w:uiPriority w:val="31"/>
    <w:qFormat/>
    <w:rsid w:val="001D6F8D"/>
    <w:rPr>
      <w:smallCaps/>
      <w:color w:val="C0504D" w:themeColor="accent2"/>
      <w:u w:val="single"/>
    </w:rPr>
  </w:style>
  <w:style w:type="character" w:styleId="IntenseReference">
    <w:name w:val="Intense Reference"/>
    <w:basedOn w:val="DefaultParagraphFont"/>
    <w:uiPriority w:val="32"/>
    <w:qFormat/>
    <w:rsid w:val="001D6F8D"/>
    <w:rPr>
      <w:b/>
      <w:bCs/>
      <w:smallCaps/>
      <w:color w:val="C0504D" w:themeColor="accent2"/>
      <w:spacing w:val="5"/>
      <w:u w:val="single"/>
    </w:rPr>
  </w:style>
  <w:style w:type="character" w:styleId="BookTitle">
    <w:name w:val="Book Title"/>
    <w:basedOn w:val="DefaultParagraphFont"/>
    <w:uiPriority w:val="33"/>
    <w:qFormat/>
    <w:rsid w:val="001D6F8D"/>
    <w:rPr>
      <w:b/>
      <w:bCs/>
      <w:smallCaps/>
      <w:spacing w:val="5"/>
    </w:rPr>
  </w:style>
  <w:style w:type="paragraph" w:styleId="TOCHeading">
    <w:name w:val="TOC Heading"/>
    <w:basedOn w:val="Heading1"/>
    <w:next w:val="Normal"/>
    <w:uiPriority w:val="39"/>
    <w:semiHidden/>
    <w:unhideWhenUsed/>
    <w:qFormat/>
    <w:rsid w:val="001D6F8D"/>
    <w:pPr>
      <w:outlineLvl w:val="9"/>
    </w:pPr>
  </w:style>
  <w:style w:type="character" w:styleId="Hyperlink">
    <w:name w:val="Hyperlink"/>
    <w:basedOn w:val="DefaultParagraphFont"/>
    <w:unhideWhenUsed/>
    <w:rsid w:val="00D131FD"/>
    <w:rPr>
      <w:color w:val="0000FF"/>
      <w:u w:val="single"/>
    </w:rPr>
  </w:style>
  <w:style w:type="character" w:styleId="FollowedHyperlink">
    <w:name w:val="FollowedHyperlink"/>
    <w:basedOn w:val="DefaultParagraphFont"/>
    <w:rsid w:val="00324B39"/>
    <w:rPr>
      <w:color w:val="800080" w:themeColor="followedHyperlink"/>
      <w:u w:val="single"/>
    </w:rPr>
  </w:style>
  <w:style w:type="paragraph" w:styleId="NormalWeb">
    <w:name w:val="Normal (Web)"/>
    <w:basedOn w:val="Normal"/>
    <w:unhideWhenUsed/>
    <w:rsid w:val="00324B3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EE649D"/>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rsid w:val="00E62722"/>
    <w:pPr>
      <w:spacing w:after="0" w:line="240" w:lineRule="auto"/>
    </w:pPr>
    <w:rPr>
      <w:sz w:val="20"/>
      <w:szCs w:val="20"/>
    </w:rPr>
  </w:style>
  <w:style w:type="character" w:customStyle="1" w:styleId="FootnoteTextChar">
    <w:name w:val="Footnote Text Char"/>
    <w:basedOn w:val="DefaultParagraphFont"/>
    <w:link w:val="FootnoteText"/>
    <w:rsid w:val="00E62722"/>
    <w:rPr>
      <w:sz w:val="20"/>
      <w:szCs w:val="20"/>
    </w:rPr>
  </w:style>
  <w:style w:type="character" w:styleId="FootnoteReference">
    <w:name w:val="footnote reference"/>
    <w:basedOn w:val="DefaultParagraphFont"/>
    <w:rsid w:val="00E62722"/>
    <w:rPr>
      <w:vertAlign w:val="superscript"/>
    </w:rPr>
  </w:style>
  <w:style w:type="character" w:styleId="CommentReference">
    <w:name w:val="annotation reference"/>
    <w:basedOn w:val="DefaultParagraphFont"/>
    <w:rsid w:val="001B4BC7"/>
    <w:rPr>
      <w:sz w:val="18"/>
      <w:szCs w:val="18"/>
    </w:rPr>
  </w:style>
  <w:style w:type="paragraph" w:styleId="CommentText">
    <w:name w:val="annotation text"/>
    <w:basedOn w:val="Normal"/>
    <w:link w:val="CommentTextChar"/>
    <w:rsid w:val="001B4BC7"/>
    <w:pPr>
      <w:spacing w:line="240" w:lineRule="auto"/>
    </w:pPr>
    <w:rPr>
      <w:sz w:val="24"/>
      <w:szCs w:val="24"/>
    </w:rPr>
  </w:style>
  <w:style w:type="character" w:customStyle="1" w:styleId="CommentTextChar">
    <w:name w:val="Comment Text Char"/>
    <w:basedOn w:val="DefaultParagraphFont"/>
    <w:link w:val="CommentText"/>
    <w:rsid w:val="001B4BC7"/>
    <w:rPr>
      <w:sz w:val="24"/>
      <w:szCs w:val="24"/>
    </w:rPr>
  </w:style>
  <w:style w:type="paragraph" w:styleId="CommentSubject">
    <w:name w:val="annotation subject"/>
    <w:basedOn w:val="CommentText"/>
    <w:next w:val="CommentText"/>
    <w:link w:val="CommentSubjectChar"/>
    <w:rsid w:val="001B4BC7"/>
    <w:rPr>
      <w:b/>
      <w:bCs/>
      <w:sz w:val="20"/>
      <w:szCs w:val="20"/>
    </w:rPr>
  </w:style>
  <w:style w:type="character" w:customStyle="1" w:styleId="CommentSubjectChar">
    <w:name w:val="Comment Subject Char"/>
    <w:basedOn w:val="CommentTextChar"/>
    <w:link w:val="CommentSubject"/>
    <w:rsid w:val="001B4BC7"/>
    <w:rPr>
      <w:b/>
      <w:bCs/>
      <w:sz w:val="20"/>
      <w:szCs w:val="20"/>
    </w:rPr>
  </w:style>
  <w:style w:type="character" w:customStyle="1" w:styleId="NoSpacingChar">
    <w:name w:val="No Spacing Char"/>
    <w:basedOn w:val="DefaultParagraphFont"/>
    <w:link w:val="NoSpacing"/>
    <w:uiPriority w:val="1"/>
    <w:rsid w:val="001D6F8D"/>
  </w:style>
  <w:style w:type="paragraph" w:styleId="Revision">
    <w:name w:val="Revision"/>
    <w:hidden/>
    <w:uiPriority w:val="99"/>
    <w:semiHidden/>
    <w:rsid w:val="007F3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7134">
      <w:bodyDiv w:val="1"/>
      <w:marLeft w:val="0"/>
      <w:marRight w:val="0"/>
      <w:marTop w:val="0"/>
      <w:marBottom w:val="0"/>
      <w:divBdr>
        <w:top w:val="none" w:sz="0" w:space="0" w:color="auto"/>
        <w:left w:val="none" w:sz="0" w:space="0" w:color="auto"/>
        <w:bottom w:val="none" w:sz="0" w:space="0" w:color="auto"/>
        <w:right w:val="none" w:sz="0" w:space="0" w:color="auto"/>
      </w:divBdr>
    </w:div>
    <w:div w:id="530723434">
      <w:bodyDiv w:val="1"/>
      <w:marLeft w:val="0"/>
      <w:marRight w:val="0"/>
      <w:marTop w:val="0"/>
      <w:marBottom w:val="0"/>
      <w:divBdr>
        <w:top w:val="none" w:sz="0" w:space="0" w:color="auto"/>
        <w:left w:val="none" w:sz="0" w:space="0" w:color="auto"/>
        <w:bottom w:val="none" w:sz="0" w:space="0" w:color="auto"/>
        <w:right w:val="none" w:sz="0" w:space="0" w:color="auto"/>
      </w:divBdr>
    </w:div>
    <w:div w:id="696541524">
      <w:bodyDiv w:val="1"/>
      <w:marLeft w:val="0"/>
      <w:marRight w:val="0"/>
      <w:marTop w:val="0"/>
      <w:marBottom w:val="0"/>
      <w:divBdr>
        <w:top w:val="none" w:sz="0" w:space="0" w:color="auto"/>
        <w:left w:val="none" w:sz="0" w:space="0" w:color="auto"/>
        <w:bottom w:val="none" w:sz="0" w:space="0" w:color="auto"/>
        <w:right w:val="none" w:sz="0" w:space="0" w:color="auto"/>
      </w:divBdr>
    </w:div>
    <w:div w:id="811750306">
      <w:bodyDiv w:val="1"/>
      <w:marLeft w:val="0"/>
      <w:marRight w:val="0"/>
      <w:marTop w:val="0"/>
      <w:marBottom w:val="0"/>
      <w:divBdr>
        <w:top w:val="none" w:sz="0" w:space="0" w:color="auto"/>
        <w:left w:val="none" w:sz="0" w:space="0" w:color="auto"/>
        <w:bottom w:val="none" w:sz="0" w:space="0" w:color="auto"/>
        <w:right w:val="none" w:sz="0" w:space="0" w:color="auto"/>
      </w:divBdr>
      <w:divsChild>
        <w:div w:id="1464084110">
          <w:marLeft w:val="0"/>
          <w:marRight w:val="0"/>
          <w:marTop w:val="0"/>
          <w:marBottom w:val="0"/>
          <w:divBdr>
            <w:top w:val="none" w:sz="0" w:space="0" w:color="auto"/>
            <w:left w:val="none" w:sz="0" w:space="0" w:color="auto"/>
            <w:bottom w:val="none" w:sz="0" w:space="0" w:color="auto"/>
            <w:right w:val="none" w:sz="0" w:space="0" w:color="auto"/>
          </w:divBdr>
        </w:div>
        <w:div w:id="864244741">
          <w:marLeft w:val="0"/>
          <w:marRight w:val="0"/>
          <w:marTop w:val="0"/>
          <w:marBottom w:val="0"/>
          <w:divBdr>
            <w:top w:val="none" w:sz="0" w:space="0" w:color="auto"/>
            <w:left w:val="none" w:sz="0" w:space="0" w:color="auto"/>
            <w:bottom w:val="none" w:sz="0" w:space="0" w:color="auto"/>
            <w:right w:val="none" w:sz="0" w:space="0" w:color="auto"/>
          </w:divBdr>
        </w:div>
        <w:div w:id="1780371715">
          <w:marLeft w:val="0"/>
          <w:marRight w:val="0"/>
          <w:marTop w:val="0"/>
          <w:marBottom w:val="0"/>
          <w:divBdr>
            <w:top w:val="none" w:sz="0" w:space="0" w:color="auto"/>
            <w:left w:val="none" w:sz="0" w:space="0" w:color="auto"/>
            <w:bottom w:val="none" w:sz="0" w:space="0" w:color="auto"/>
            <w:right w:val="none" w:sz="0" w:space="0" w:color="auto"/>
          </w:divBdr>
        </w:div>
        <w:div w:id="1975208621">
          <w:marLeft w:val="0"/>
          <w:marRight w:val="0"/>
          <w:marTop w:val="0"/>
          <w:marBottom w:val="0"/>
          <w:divBdr>
            <w:top w:val="none" w:sz="0" w:space="0" w:color="auto"/>
            <w:left w:val="none" w:sz="0" w:space="0" w:color="auto"/>
            <w:bottom w:val="none" w:sz="0" w:space="0" w:color="auto"/>
            <w:right w:val="none" w:sz="0" w:space="0" w:color="auto"/>
          </w:divBdr>
        </w:div>
        <w:div w:id="2121298301">
          <w:marLeft w:val="0"/>
          <w:marRight w:val="0"/>
          <w:marTop w:val="0"/>
          <w:marBottom w:val="0"/>
          <w:divBdr>
            <w:top w:val="none" w:sz="0" w:space="0" w:color="auto"/>
            <w:left w:val="none" w:sz="0" w:space="0" w:color="auto"/>
            <w:bottom w:val="none" w:sz="0" w:space="0" w:color="auto"/>
            <w:right w:val="none" w:sz="0" w:space="0" w:color="auto"/>
          </w:divBdr>
        </w:div>
        <w:div w:id="1733886474">
          <w:marLeft w:val="0"/>
          <w:marRight w:val="0"/>
          <w:marTop w:val="0"/>
          <w:marBottom w:val="0"/>
          <w:divBdr>
            <w:top w:val="none" w:sz="0" w:space="0" w:color="auto"/>
            <w:left w:val="none" w:sz="0" w:space="0" w:color="auto"/>
            <w:bottom w:val="none" w:sz="0" w:space="0" w:color="auto"/>
            <w:right w:val="none" w:sz="0" w:space="0" w:color="auto"/>
          </w:divBdr>
        </w:div>
      </w:divsChild>
    </w:div>
    <w:div w:id="834031131">
      <w:bodyDiv w:val="1"/>
      <w:marLeft w:val="0"/>
      <w:marRight w:val="0"/>
      <w:marTop w:val="0"/>
      <w:marBottom w:val="0"/>
      <w:divBdr>
        <w:top w:val="none" w:sz="0" w:space="0" w:color="auto"/>
        <w:left w:val="none" w:sz="0" w:space="0" w:color="auto"/>
        <w:bottom w:val="none" w:sz="0" w:space="0" w:color="auto"/>
        <w:right w:val="none" w:sz="0" w:space="0" w:color="auto"/>
      </w:divBdr>
    </w:div>
    <w:div w:id="836118800">
      <w:bodyDiv w:val="1"/>
      <w:marLeft w:val="0"/>
      <w:marRight w:val="0"/>
      <w:marTop w:val="0"/>
      <w:marBottom w:val="0"/>
      <w:divBdr>
        <w:top w:val="none" w:sz="0" w:space="0" w:color="auto"/>
        <w:left w:val="none" w:sz="0" w:space="0" w:color="auto"/>
        <w:bottom w:val="none" w:sz="0" w:space="0" w:color="auto"/>
        <w:right w:val="none" w:sz="0" w:space="0" w:color="auto"/>
      </w:divBdr>
    </w:div>
    <w:div w:id="1149787268">
      <w:bodyDiv w:val="1"/>
      <w:marLeft w:val="0"/>
      <w:marRight w:val="0"/>
      <w:marTop w:val="0"/>
      <w:marBottom w:val="0"/>
      <w:divBdr>
        <w:top w:val="none" w:sz="0" w:space="0" w:color="auto"/>
        <w:left w:val="none" w:sz="0" w:space="0" w:color="auto"/>
        <w:bottom w:val="none" w:sz="0" w:space="0" w:color="auto"/>
        <w:right w:val="none" w:sz="0" w:space="0" w:color="auto"/>
      </w:divBdr>
    </w:div>
    <w:div w:id="1189761455">
      <w:bodyDiv w:val="1"/>
      <w:marLeft w:val="0"/>
      <w:marRight w:val="0"/>
      <w:marTop w:val="0"/>
      <w:marBottom w:val="0"/>
      <w:divBdr>
        <w:top w:val="none" w:sz="0" w:space="0" w:color="auto"/>
        <w:left w:val="none" w:sz="0" w:space="0" w:color="auto"/>
        <w:bottom w:val="none" w:sz="0" w:space="0" w:color="auto"/>
        <w:right w:val="none" w:sz="0" w:space="0" w:color="auto"/>
      </w:divBdr>
    </w:div>
    <w:div w:id="1241872388">
      <w:bodyDiv w:val="1"/>
      <w:marLeft w:val="0"/>
      <w:marRight w:val="0"/>
      <w:marTop w:val="0"/>
      <w:marBottom w:val="0"/>
      <w:divBdr>
        <w:top w:val="none" w:sz="0" w:space="0" w:color="auto"/>
        <w:left w:val="none" w:sz="0" w:space="0" w:color="auto"/>
        <w:bottom w:val="none" w:sz="0" w:space="0" w:color="auto"/>
        <w:right w:val="none" w:sz="0" w:space="0" w:color="auto"/>
      </w:divBdr>
    </w:div>
    <w:div w:id="1479495896">
      <w:bodyDiv w:val="1"/>
      <w:marLeft w:val="0"/>
      <w:marRight w:val="0"/>
      <w:marTop w:val="0"/>
      <w:marBottom w:val="0"/>
      <w:divBdr>
        <w:top w:val="none" w:sz="0" w:space="0" w:color="auto"/>
        <w:left w:val="none" w:sz="0" w:space="0" w:color="auto"/>
        <w:bottom w:val="none" w:sz="0" w:space="0" w:color="auto"/>
        <w:right w:val="none" w:sz="0" w:space="0" w:color="auto"/>
      </w:divBdr>
    </w:div>
    <w:div w:id="1501896018">
      <w:bodyDiv w:val="1"/>
      <w:marLeft w:val="0"/>
      <w:marRight w:val="0"/>
      <w:marTop w:val="0"/>
      <w:marBottom w:val="0"/>
      <w:divBdr>
        <w:top w:val="none" w:sz="0" w:space="0" w:color="auto"/>
        <w:left w:val="none" w:sz="0" w:space="0" w:color="auto"/>
        <w:bottom w:val="none" w:sz="0" w:space="0" w:color="auto"/>
        <w:right w:val="none" w:sz="0" w:space="0" w:color="auto"/>
      </w:divBdr>
    </w:div>
    <w:div w:id="1506744834">
      <w:bodyDiv w:val="1"/>
      <w:marLeft w:val="0"/>
      <w:marRight w:val="0"/>
      <w:marTop w:val="0"/>
      <w:marBottom w:val="0"/>
      <w:divBdr>
        <w:top w:val="none" w:sz="0" w:space="0" w:color="auto"/>
        <w:left w:val="none" w:sz="0" w:space="0" w:color="auto"/>
        <w:bottom w:val="none" w:sz="0" w:space="0" w:color="auto"/>
        <w:right w:val="none" w:sz="0" w:space="0" w:color="auto"/>
      </w:divBdr>
    </w:div>
    <w:div w:id="1613127774">
      <w:bodyDiv w:val="1"/>
      <w:marLeft w:val="0"/>
      <w:marRight w:val="0"/>
      <w:marTop w:val="0"/>
      <w:marBottom w:val="0"/>
      <w:divBdr>
        <w:top w:val="none" w:sz="0" w:space="0" w:color="auto"/>
        <w:left w:val="none" w:sz="0" w:space="0" w:color="auto"/>
        <w:bottom w:val="none" w:sz="0" w:space="0" w:color="auto"/>
        <w:right w:val="none" w:sz="0" w:space="0" w:color="auto"/>
      </w:divBdr>
    </w:div>
    <w:div w:id="2004579665">
      <w:bodyDiv w:val="1"/>
      <w:marLeft w:val="0"/>
      <w:marRight w:val="0"/>
      <w:marTop w:val="0"/>
      <w:marBottom w:val="0"/>
      <w:divBdr>
        <w:top w:val="none" w:sz="0" w:space="0" w:color="auto"/>
        <w:left w:val="none" w:sz="0" w:space="0" w:color="auto"/>
        <w:bottom w:val="none" w:sz="0" w:space="0" w:color="auto"/>
        <w:right w:val="none" w:sz="0" w:space="0" w:color="auto"/>
      </w:divBdr>
    </w:div>
    <w:div w:id="2118134459">
      <w:bodyDiv w:val="1"/>
      <w:marLeft w:val="0"/>
      <w:marRight w:val="0"/>
      <w:marTop w:val="0"/>
      <w:marBottom w:val="0"/>
      <w:divBdr>
        <w:top w:val="none" w:sz="0" w:space="0" w:color="auto"/>
        <w:left w:val="none" w:sz="0" w:space="0" w:color="auto"/>
        <w:bottom w:val="none" w:sz="0" w:space="0" w:color="auto"/>
        <w:right w:val="none" w:sz="0" w:space="0" w:color="auto"/>
      </w:divBdr>
    </w:div>
    <w:div w:id="21197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fak.s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o5288\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8EC4-3058-4E59-A494-7C45385E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Brev_Beslut_PM.dotm</Template>
  <TotalTime>1</TotalTime>
  <Pages>10</Pages>
  <Words>3288</Words>
  <Characters>17428</Characters>
  <Application>Microsoft Office Word</Application>
  <DocSecurity>0</DocSecurity>
  <Lines>145</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Emanuel Identity Manuals AB</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asjo5288</dc:creator>
  <cp:keywords>Multimall 2010 - Su</cp:keywords>
  <dc:description>2010.09, MS Word 2010
Carin Ländström
Emanuel Identity Manuals AB, 08-556 014 30</dc:description>
  <cp:lastModifiedBy>Mark Rhinard</cp:lastModifiedBy>
  <cp:revision>2</cp:revision>
  <cp:lastPrinted>2019-06-19T11:26:00Z</cp:lastPrinted>
  <dcterms:created xsi:type="dcterms:W3CDTF">2019-09-05T13:28:00Z</dcterms:created>
  <dcterms:modified xsi:type="dcterms:W3CDTF">2019-09-05T13:28:00Z</dcterms:modified>
</cp:coreProperties>
</file>